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B82C" w14:textId="1D27B7AE" w:rsidR="004272BB" w:rsidRDefault="009D331F">
      <w:pPr>
        <w:rPr>
          <w:rFonts w:ascii="Arial" w:hAnsi="Arial" w:cs="Arial"/>
          <w:b/>
          <w:bCs/>
          <w:sz w:val="36"/>
          <w:szCs w:val="36"/>
        </w:rPr>
      </w:pPr>
      <w:r>
        <w:rPr>
          <w:rFonts w:ascii="Arial" w:hAnsi="Arial" w:cs="Arial"/>
          <w:b/>
          <w:bCs/>
          <w:sz w:val="36"/>
          <w:szCs w:val="36"/>
        </w:rPr>
        <w:t>La fin de l</w:t>
      </w:r>
      <w:r w:rsidR="00E66B3C">
        <w:rPr>
          <w:rFonts w:ascii="Arial" w:hAnsi="Arial" w:cs="Arial"/>
          <w:b/>
          <w:bCs/>
          <w:sz w:val="36"/>
          <w:szCs w:val="36"/>
        </w:rPr>
        <w:t>’hégémonie des</w:t>
      </w:r>
      <w:r w:rsidR="007E3292" w:rsidRPr="00D4008A">
        <w:rPr>
          <w:rFonts w:ascii="Arial" w:hAnsi="Arial" w:cs="Arial"/>
          <w:b/>
          <w:bCs/>
          <w:sz w:val="36"/>
          <w:szCs w:val="36"/>
        </w:rPr>
        <w:t xml:space="preserve"> CDT</w:t>
      </w:r>
      <w:r w:rsidR="00466A19">
        <w:rPr>
          <w:rFonts w:ascii="Arial" w:hAnsi="Arial" w:cs="Arial"/>
          <w:b/>
          <w:bCs/>
          <w:sz w:val="36"/>
          <w:szCs w:val="36"/>
        </w:rPr>
        <w:t xml:space="preserve"> ? La place de la PEth ? </w:t>
      </w:r>
    </w:p>
    <w:p w14:paraId="0CB83981" w14:textId="77777777" w:rsidR="00D57CB8" w:rsidRDefault="00D57CB8">
      <w:pPr>
        <w:rPr>
          <w:rFonts w:ascii="Arial" w:hAnsi="Arial" w:cs="Arial"/>
          <w:b/>
          <w:bCs/>
          <w:sz w:val="36"/>
          <w:szCs w:val="36"/>
        </w:rPr>
      </w:pPr>
    </w:p>
    <w:p w14:paraId="5777952D" w14:textId="77777777" w:rsidR="00C87143" w:rsidRDefault="00C87143">
      <w:pPr>
        <w:rPr>
          <w:rFonts w:ascii="Arial" w:hAnsi="Arial" w:cs="Arial"/>
          <w:b/>
          <w:bCs/>
          <w:sz w:val="36"/>
          <w:szCs w:val="36"/>
        </w:rPr>
      </w:pPr>
    </w:p>
    <w:p w14:paraId="6237BF01" w14:textId="77777777" w:rsidR="00C87143" w:rsidRPr="008D33AB" w:rsidRDefault="00C87143">
      <w:pPr>
        <w:rPr>
          <w:rFonts w:ascii="Arial" w:hAnsi="Arial" w:cs="Arial"/>
          <w:b/>
          <w:bCs/>
          <w:sz w:val="32"/>
          <w:szCs w:val="32"/>
        </w:rPr>
      </w:pPr>
      <w:r w:rsidRPr="008D33AB">
        <w:rPr>
          <w:rFonts w:ascii="Arial" w:hAnsi="Arial" w:cs="Arial"/>
          <w:b/>
          <w:bCs/>
          <w:sz w:val="32"/>
          <w:szCs w:val="32"/>
        </w:rPr>
        <w:t xml:space="preserve">Problématique : </w:t>
      </w:r>
    </w:p>
    <w:p w14:paraId="0593B5E9" w14:textId="40194C80" w:rsidR="00D5774D" w:rsidRDefault="00C87143">
      <w:pPr>
        <w:rPr>
          <w:rFonts w:ascii="Arial" w:hAnsi="Arial" w:cs="Arial"/>
        </w:rPr>
      </w:pPr>
      <w:r w:rsidRPr="00C87143">
        <w:rPr>
          <w:rFonts w:ascii="Arial" w:hAnsi="Arial" w:cs="Arial"/>
        </w:rPr>
        <w:t xml:space="preserve">Les médecins en commission médicale pour </w:t>
      </w:r>
      <w:r>
        <w:rPr>
          <w:rFonts w:ascii="Arial" w:hAnsi="Arial" w:cs="Arial"/>
        </w:rPr>
        <w:t>l’aptitude à la conduite routière sont très souvent amenés à se prononcer</w:t>
      </w:r>
      <w:r w:rsidR="00D02E36">
        <w:rPr>
          <w:rFonts w:ascii="Arial" w:hAnsi="Arial" w:cs="Arial"/>
        </w:rPr>
        <w:t xml:space="preserve"> sur cette aptitude</w:t>
      </w:r>
      <w:r w:rsidR="00685BD3">
        <w:rPr>
          <w:rFonts w:ascii="Arial" w:hAnsi="Arial" w:cs="Arial"/>
        </w:rPr>
        <w:t xml:space="preserve"> par rapport à la consommation d’alcool</w:t>
      </w:r>
      <w:r>
        <w:rPr>
          <w:rFonts w:ascii="Arial" w:hAnsi="Arial" w:cs="Arial"/>
        </w:rPr>
        <w:t xml:space="preserve">. La décision </w:t>
      </w:r>
      <w:r w:rsidR="00685BD3">
        <w:rPr>
          <w:rFonts w:ascii="Arial" w:hAnsi="Arial" w:cs="Arial"/>
        </w:rPr>
        <w:t xml:space="preserve">concernant l’aptitude ou l’inaptitude </w:t>
      </w:r>
      <w:r>
        <w:rPr>
          <w:rFonts w:ascii="Arial" w:hAnsi="Arial" w:cs="Arial"/>
        </w:rPr>
        <w:t xml:space="preserve">est basée sur l’interrogatoire, sur l’examen clinique, l’évaluation psychotechnique et sur </w:t>
      </w:r>
      <w:r w:rsidR="002B21A8">
        <w:rPr>
          <w:rFonts w:ascii="Arial" w:hAnsi="Arial" w:cs="Arial"/>
        </w:rPr>
        <w:t>la</w:t>
      </w:r>
      <w:r>
        <w:rPr>
          <w:rFonts w:ascii="Arial" w:hAnsi="Arial" w:cs="Arial"/>
        </w:rPr>
        <w:t xml:space="preserve"> </w:t>
      </w:r>
      <w:r w:rsidR="002B21A8">
        <w:rPr>
          <w:rFonts w:ascii="Arial" w:hAnsi="Arial" w:cs="Arial"/>
        </w:rPr>
        <w:t>biologie</w:t>
      </w:r>
      <w:r>
        <w:rPr>
          <w:rFonts w:ascii="Arial" w:hAnsi="Arial" w:cs="Arial"/>
        </w:rPr>
        <w:t xml:space="preserve">. Celle-ci comporte des examens classiques tels que </w:t>
      </w:r>
      <w:r w:rsidR="00D02E36">
        <w:rPr>
          <w:rFonts w:ascii="Arial" w:hAnsi="Arial" w:cs="Arial"/>
        </w:rPr>
        <w:t>v</w:t>
      </w:r>
      <w:r>
        <w:rPr>
          <w:rFonts w:ascii="Arial" w:hAnsi="Arial" w:cs="Arial"/>
        </w:rPr>
        <w:t xml:space="preserve">olume </w:t>
      </w:r>
      <w:r w:rsidR="002B21A8">
        <w:rPr>
          <w:rFonts w:ascii="Arial" w:hAnsi="Arial" w:cs="Arial"/>
        </w:rPr>
        <w:t>des globules</w:t>
      </w:r>
      <w:r w:rsidR="00D02E36">
        <w:rPr>
          <w:rFonts w:ascii="Arial" w:hAnsi="Arial" w:cs="Arial"/>
        </w:rPr>
        <w:t xml:space="preserve"> rouges</w:t>
      </w:r>
      <w:r>
        <w:rPr>
          <w:rFonts w:ascii="Arial" w:hAnsi="Arial" w:cs="Arial"/>
        </w:rPr>
        <w:t xml:space="preserve">, </w:t>
      </w:r>
      <w:r w:rsidR="00D02E36">
        <w:rPr>
          <w:rFonts w:ascii="Arial" w:hAnsi="Arial" w:cs="Arial"/>
        </w:rPr>
        <w:t xml:space="preserve">les </w:t>
      </w:r>
      <w:r>
        <w:rPr>
          <w:rFonts w:ascii="Arial" w:hAnsi="Arial" w:cs="Arial"/>
        </w:rPr>
        <w:t>Gamm</w:t>
      </w:r>
      <w:r w:rsidR="00D02E36">
        <w:rPr>
          <w:rFonts w:ascii="Arial" w:hAnsi="Arial" w:cs="Arial"/>
        </w:rPr>
        <w:t>a</w:t>
      </w:r>
      <w:r>
        <w:rPr>
          <w:rFonts w:ascii="Arial" w:hAnsi="Arial" w:cs="Arial"/>
        </w:rPr>
        <w:t xml:space="preserve">-GT et </w:t>
      </w:r>
      <w:r w:rsidR="00D02E36">
        <w:rPr>
          <w:rFonts w:ascii="Arial" w:hAnsi="Arial" w:cs="Arial"/>
        </w:rPr>
        <w:t xml:space="preserve">le </w:t>
      </w:r>
      <w:r>
        <w:rPr>
          <w:rFonts w:ascii="Arial" w:hAnsi="Arial" w:cs="Arial"/>
        </w:rPr>
        <w:t xml:space="preserve">taux de CDT. Malheureusement, le taux </w:t>
      </w:r>
      <w:r w:rsidR="002B21A8">
        <w:rPr>
          <w:rFonts w:ascii="Arial" w:hAnsi="Arial" w:cs="Arial"/>
        </w:rPr>
        <w:t>de CDT</w:t>
      </w:r>
      <w:r>
        <w:rPr>
          <w:rFonts w:ascii="Arial" w:hAnsi="Arial" w:cs="Arial"/>
        </w:rPr>
        <w:t xml:space="preserve"> est souvent insuffisant </w:t>
      </w:r>
      <w:r w:rsidR="00D02E36">
        <w:rPr>
          <w:rFonts w:ascii="Arial" w:hAnsi="Arial" w:cs="Arial"/>
        </w:rPr>
        <w:t>p</w:t>
      </w:r>
      <w:r w:rsidR="00D5774D">
        <w:rPr>
          <w:rFonts w:ascii="Arial" w:hAnsi="Arial" w:cs="Arial"/>
        </w:rPr>
        <w:t>o</w:t>
      </w:r>
      <w:r w:rsidR="00D02E36">
        <w:rPr>
          <w:rFonts w:ascii="Arial" w:hAnsi="Arial" w:cs="Arial"/>
        </w:rPr>
        <w:t xml:space="preserve">ur décider sereinement </w:t>
      </w:r>
      <w:r w:rsidR="00D5774D">
        <w:rPr>
          <w:rFonts w:ascii="Arial" w:hAnsi="Arial" w:cs="Arial"/>
        </w:rPr>
        <w:t xml:space="preserve">notamment </w:t>
      </w:r>
      <w:r w:rsidR="00D02E36">
        <w:rPr>
          <w:rFonts w:ascii="Arial" w:hAnsi="Arial" w:cs="Arial"/>
        </w:rPr>
        <w:t>pour d</w:t>
      </w:r>
      <w:r>
        <w:rPr>
          <w:rFonts w:ascii="Arial" w:hAnsi="Arial" w:cs="Arial"/>
        </w:rPr>
        <w:t>es valeurs</w:t>
      </w:r>
      <w:r w:rsidR="002B21A8">
        <w:rPr>
          <w:rFonts w:ascii="Arial" w:hAnsi="Arial" w:cs="Arial"/>
        </w:rPr>
        <w:t xml:space="preserve"> à la limite de la normale, ici de 1.7</w:t>
      </w:r>
      <w:r w:rsidR="00E66B3C">
        <w:rPr>
          <w:rFonts w:ascii="Arial" w:hAnsi="Arial" w:cs="Arial"/>
        </w:rPr>
        <w:t>%</w:t>
      </w:r>
      <w:r w:rsidR="002B21A8">
        <w:rPr>
          <w:rFonts w:ascii="Arial" w:hAnsi="Arial" w:cs="Arial"/>
        </w:rPr>
        <w:t xml:space="preserve"> à </w:t>
      </w:r>
      <w:r w:rsidR="00466A19">
        <w:rPr>
          <w:rFonts w:ascii="Arial" w:hAnsi="Arial" w:cs="Arial"/>
        </w:rPr>
        <w:t>1,9</w:t>
      </w:r>
      <w:r w:rsidR="002B21A8">
        <w:rPr>
          <w:rFonts w:ascii="Arial" w:hAnsi="Arial" w:cs="Arial"/>
        </w:rPr>
        <w:t xml:space="preserve">%. La PEth semble ici beaucoup plus utile car directement corrélée à la consommation réelle et récente de boissons alcoolisées. </w:t>
      </w:r>
    </w:p>
    <w:p w14:paraId="4887ADF9" w14:textId="5153593F" w:rsidR="00187DA0" w:rsidRDefault="002B21A8">
      <w:pPr>
        <w:rPr>
          <w:rFonts w:ascii="Arial" w:hAnsi="Arial" w:cs="Arial"/>
        </w:rPr>
      </w:pPr>
      <w:r>
        <w:rPr>
          <w:rFonts w:ascii="Arial" w:hAnsi="Arial" w:cs="Arial"/>
        </w:rPr>
        <w:t>Faisons le point</w:t>
      </w:r>
      <w:r w:rsidR="00D02E36">
        <w:rPr>
          <w:rFonts w:ascii="Arial" w:hAnsi="Arial" w:cs="Arial"/>
        </w:rPr>
        <w:t xml:space="preserve"> sur </w:t>
      </w:r>
      <w:r w:rsidR="00543D8F">
        <w:rPr>
          <w:rFonts w:ascii="Arial" w:hAnsi="Arial" w:cs="Arial"/>
        </w:rPr>
        <w:t xml:space="preserve">l’alcool, </w:t>
      </w:r>
      <w:r w:rsidR="00D02E36">
        <w:rPr>
          <w:rFonts w:ascii="Arial" w:hAnsi="Arial" w:cs="Arial"/>
        </w:rPr>
        <w:t>l</w:t>
      </w:r>
      <w:r w:rsidR="00543D8F">
        <w:rPr>
          <w:rFonts w:ascii="Arial" w:hAnsi="Arial" w:cs="Arial"/>
        </w:rPr>
        <w:t xml:space="preserve">a </w:t>
      </w:r>
      <w:r w:rsidR="00D02E36">
        <w:rPr>
          <w:rFonts w:ascii="Arial" w:hAnsi="Arial" w:cs="Arial"/>
        </w:rPr>
        <w:t>CDT et sur la PEth.</w:t>
      </w:r>
    </w:p>
    <w:p w14:paraId="604E4B45" w14:textId="77777777" w:rsidR="00685BD3" w:rsidRDefault="00685BD3">
      <w:pPr>
        <w:rPr>
          <w:rFonts w:ascii="Arial" w:hAnsi="Arial" w:cs="Arial"/>
        </w:rPr>
      </w:pPr>
    </w:p>
    <w:p w14:paraId="20094C9D" w14:textId="77777777" w:rsidR="008D33AB" w:rsidRDefault="008D33AB">
      <w:pPr>
        <w:rPr>
          <w:rFonts w:ascii="Arial" w:hAnsi="Arial" w:cs="Arial"/>
        </w:rPr>
      </w:pPr>
    </w:p>
    <w:p w14:paraId="4B4933AF" w14:textId="3AD94880" w:rsidR="008D33AB" w:rsidRPr="001E4DB2" w:rsidRDefault="008D33AB" w:rsidP="001E4DB2">
      <w:pPr>
        <w:pStyle w:val="Paragraphedeliste"/>
        <w:numPr>
          <w:ilvl w:val="0"/>
          <w:numId w:val="20"/>
        </w:numPr>
        <w:spacing w:after="100" w:afterAutospacing="1" w:line="240" w:lineRule="auto"/>
        <w:jc w:val="both"/>
        <w:rPr>
          <w:rFonts w:ascii="Arial" w:eastAsia="Times New Roman" w:hAnsi="Arial" w:cs="Arial"/>
          <w:b/>
          <w:bCs/>
          <w:color w:val="000000"/>
          <w:sz w:val="32"/>
          <w:szCs w:val="32"/>
          <w:lang w:eastAsia="fr-FR"/>
        </w:rPr>
      </w:pPr>
      <w:r w:rsidRPr="001E4DB2">
        <w:rPr>
          <w:rFonts w:ascii="Arial" w:eastAsia="Times New Roman" w:hAnsi="Arial" w:cs="Arial"/>
          <w:b/>
          <w:bCs/>
          <w:color w:val="000000"/>
          <w:sz w:val="32"/>
          <w:szCs w:val="32"/>
          <w:lang w:eastAsia="fr-FR"/>
        </w:rPr>
        <w:t>L’éthanol</w:t>
      </w:r>
    </w:p>
    <w:p w14:paraId="5250B097" w14:textId="77777777" w:rsidR="008D33AB" w:rsidRDefault="008D33AB" w:rsidP="008D33AB">
      <w:pPr>
        <w:spacing w:before="100" w:beforeAutospacing="1" w:after="100" w:afterAutospacing="1" w:line="240" w:lineRule="auto"/>
        <w:rPr>
          <w:rFonts w:ascii="Arial" w:eastAsia="Times New Roman" w:hAnsi="Arial" w:cs="Arial"/>
          <w:lang w:eastAsia="fr-FR"/>
        </w:rPr>
      </w:pPr>
      <w:r w:rsidRPr="008D33AB">
        <w:rPr>
          <w:rFonts w:ascii="Arial" w:eastAsia="Times New Roman" w:hAnsi="Arial" w:cs="Arial"/>
          <w:lang w:eastAsia="fr-FR"/>
        </w:rPr>
        <w:t>L’éthanol, alcool éthylique ou alcool pur, provient de la fermentation de fruits, de grains ou de tubercules. Après consommation, 70 à 80% de l’éthanol est absorbé au niveau du duodénum et du jéjunum. L’ingestion de nourriture, en ralentissant la vidange gastrique, prolonge le temps de présence de l’éthanol dans l’estomac modifiant ainsi sa cinétique d’absorption. Le temps d’atteinte de la concentration plasmatique maximale en éthanol est doublé si celui-ci est ingéré pendant un repas (90 minutes en moyenne versus 45 si le sujet est à jeun). </w:t>
      </w:r>
    </w:p>
    <w:p w14:paraId="72ED3D2B" w14:textId="0CB66F43" w:rsidR="00E14D89" w:rsidRDefault="00D57CB8" w:rsidP="008D33AB">
      <w:p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L’éthanol, C2</w:t>
      </w:r>
      <w:r w:rsidR="0054167B">
        <w:rPr>
          <w:rFonts w:ascii="Arial" w:eastAsia="Times New Roman" w:hAnsi="Arial" w:cs="Arial"/>
          <w:lang w:eastAsia="fr-FR"/>
        </w:rPr>
        <w:t>H5</w:t>
      </w:r>
      <w:r w:rsidR="002200A9">
        <w:rPr>
          <w:rFonts w:ascii="Arial" w:eastAsia="Times New Roman" w:hAnsi="Arial" w:cs="Arial"/>
          <w:lang w:eastAsia="fr-FR"/>
        </w:rPr>
        <w:t>OH, ingéré</w:t>
      </w:r>
      <w:r>
        <w:rPr>
          <w:rFonts w:ascii="Arial" w:eastAsia="Times New Roman" w:hAnsi="Arial" w:cs="Arial"/>
          <w:lang w:eastAsia="fr-FR"/>
        </w:rPr>
        <w:t xml:space="preserve"> par la bouche passe dans le sang depuis le tube </w:t>
      </w:r>
      <w:r w:rsidR="00FC5A39">
        <w:rPr>
          <w:rFonts w:ascii="Arial" w:eastAsia="Times New Roman" w:hAnsi="Arial" w:cs="Arial"/>
          <w:lang w:eastAsia="fr-FR"/>
        </w:rPr>
        <w:t>digestif à</w:t>
      </w:r>
      <w:r>
        <w:rPr>
          <w:rFonts w:ascii="Arial" w:eastAsia="Times New Roman" w:hAnsi="Arial" w:cs="Arial"/>
          <w:lang w:eastAsia="fr-FR"/>
        </w:rPr>
        <w:t xml:space="preserve"> raiso</w:t>
      </w:r>
      <w:r w:rsidR="00326936">
        <w:rPr>
          <w:rFonts w:ascii="Arial" w:eastAsia="Times New Roman" w:hAnsi="Arial" w:cs="Arial"/>
          <w:lang w:eastAsia="fr-FR"/>
        </w:rPr>
        <w:t>n</w:t>
      </w:r>
      <w:r>
        <w:rPr>
          <w:rFonts w:ascii="Arial" w:eastAsia="Times New Roman" w:hAnsi="Arial" w:cs="Arial"/>
          <w:lang w:eastAsia="fr-FR"/>
        </w:rPr>
        <w:t xml:space="preserve"> d’environ 20% </w:t>
      </w:r>
      <w:r w:rsidR="00326936">
        <w:rPr>
          <w:rFonts w:ascii="Arial" w:eastAsia="Times New Roman" w:hAnsi="Arial" w:cs="Arial"/>
          <w:lang w:eastAsia="fr-FR"/>
        </w:rPr>
        <w:t xml:space="preserve">depuis </w:t>
      </w:r>
      <w:r>
        <w:rPr>
          <w:rFonts w:ascii="Arial" w:eastAsia="Times New Roman" w:hAnsi="Arial" w:cs="Arial"/>
          <w:lang w:eastAsia="fr-FR"/>
        </w:rPr>
        <w:t xml:space="preserve">l’estomac et </w:t>
      </w:r>
      <w:r w:rsidR="00326936">
        <w:rPr>
          <w:rFonts w:ascii="Arial" w:eastAsia="Times New Roman" w:hAnsi="Arial" w:cs="Arial"/>
          <w:lang w:eastAsia="fr-FR"/>
        </w:rPr>
        <w:t xml:space="preserve">environ </w:t>
      </w:r>
      <w:r>
        <w:rPr>
          <w:rFonts w:ascii="Arial" w:eastAsia="Times New Roman" w:hAnsi="Arial" w:cs="Arial"/>
          <w:lang w:eastAsia="fr-FR"/>
        </w:rPr>
        <w:t xml:space="preserve">80% </w:t>
      </w:r>
      <w:r w:rsidR="00FC5A39">
        <w:rPr>
          <w:rFonts w:ascii="Arial" w:eastAsia="Times New Roman" w:hAnsi="Arial" w:cs="Arial"/>
          <w:lang w:eastAsia="fr-FR"/>
        </w:rPr>
        <w:t>depuis</w:t>
      </w:r>
      <w:r>
        <w:rPr>
          <w:rFonts w:ascii="Arial" w:eastAsia="Times New Roman" w:hAnsi="Arial" w:cs="Arial"/>
          <w:lang w:eastAsia="fr-FR"/>
        </w:rPr>
        <w:t xml:space="preserve"> l’intestin</w:t>
      </w:r>
      <w:r w:rsidR="00326936">
        <w:rPr>
          <w:rFonts w:ascii="Arial" w:eastAsia="Times New Roman" w:hAnsi="Arial" w:cs="Arial"/>
          <w:lang w:eastAsia="fr-FR"/>
        </w:rPr>
        <w:t xml:space="preserve">. </w:t>
      </w:r>
      <w:r>
        <w:rPr>
          <w:rFonts w:ascii="Arial" w:eastAsia="Times New Roman" w:hAnsi="Arial" w:cs="Arial"/>
          <w:lang w:eastAsia="fr-FR"/>
        </w:rPr>
        <w:t xml:space="preserve"> </w:t>
      </w:r>
      <w:r w:rsidR="00326936">
        <w:rPr>
          <w:rFonts w:ascii="Arial" w:eastAsia="Times New Roman" w:hAnsi="Arial" w:cs="Arial"/>
          <w:lang w:eastAsia="fr-FR"/>
        </w:rPr>
        <w:t>U</w:t>
      </w:r>
      <w:r>
        <w:rPr>
          <w:rFonts w:ascii="Arial" w:eastAsia="Times New Roman" w:hAnsi="Arial" w:cs="Arial"/>
          <w:lang w:eastAsia="fr-FR"/>
        </w:rPr>
        <w:t>ne fois passé dans le sang</w:t>
      </w:r>
      <w:r w:rsidR="00326936">
        <w:rPr>
          <w:rFonts w:ascii="Arial" w:eastAsia="Times New Roman" w:hAnsi="Arial" w:cs="Arial"/>
          <w:lang w:eastAsia="fr-FR"/>
        </w:rPr>
        <w:t xml:space="preserve">, l’alcool </w:t>
      </w:r>
      <w:r>
        <w:rPr>
          <w:rFonts w:ascii="Arial" w:eastAsia="Times New Roman" w:hAnsi="Arial" w:cs="Arial"/>
          <w:lang w:eastAsia="fr-FR"/>
        </w:rPr>
        <w:t>est rapidement métabolisé notamment</w:t>
      </w:r>
      <w:r w:rsidR="00FC5A39">
        <w:rPr>
          <w:rFonts w:ascii="Arial" w:eastAsia="Times New Roman" w:hAnsi="Arial" w:cs="Arial"/>
          <w:lang w:eastAsia="fr-FR"/>
        </w:rPr>
        <w:t xml:space="preserve"> </w:t>
      </w:r>
      <w:r>
        <w:rPr>
          <w:rFonts w:ascii="Arial" w:eastAsia="Times New Roman" w:hAnsi="Arial" w:cs="Arial"/>
          <w:lang w:eastAsia="fr-FR"/>
        </w:rPr>
        <w:t>par le foie</w:t>
      </w:r>
      <w:r w:rsidR="00326936">
        <w:rPr>
          <w:rFonts w:ascii="Arial" w:eastAsia="Times New Roman" w:hAnsi="Arial" w:cs="Arial"/>
          <w:lang w:eastAsia="fr-FR"/>
        </w:rPr>
        <w:t xml:space="preserve"> et excrété </w:t>
      </w:r>
      <w:r w:rsidR="00FC5A39">
        <w:rPr>
          <w:rFonts w:ascii="Arial" w:eastAsia="Times New Roman" w:hAnsi="Arial" w:cs="Arial"/>
          <w:lang w:eastAsia="fr-FR"/>
        </w:rPr>
        <w:t xml:space="preserve">sous la forme d’éthanol </w:t>
      </w:r>
      <w:r w:rsidR="00326936">
        <w:rPr>
          <w:rFonts w:ascii="Arial" w:eastAsia="Times New Roman" w:hAnsi="Arial" w:cs="Arial"/>
          <w:lang w:eastAsia="fr-FR"/>
        </w:rPr>
        <w:t xml:space="preserve">par les reins, la sueur et </w:t>
      </w:r>
      <w:r w:rsidR="004F265A">
        <w:rPr>
          <w:rFonts w:ascii="Arial" w:eastAsia="Times New Roman" w:hAnsi="Arial" w:cs="Arial"/>
          <w:lang w:eastAsia="fr-FR"/>
        </w:rPr>
        <w:t>la respiration</w:t>
      </w:r>
      <w:r w:rsidR="00E14D89">
        <w:rPr>
          <w:rFonts w:ascii="Arial" w:eastAsia="Times New Roman" w:hAnsi="Arial" w:cs="Arial"/>
          <w:lang w:eastAsia="fr-FR"/>
        </w:rPr>
        <w:t xml:space="preserve"> pour environ 2% de la quantité ingérée. Ce taux peut augmenter jusqu’à10% en cas </w:t>
      </w:r>
      <w:r w:rsidR="004F265A">
        <w:rPr>
          <w:rFonts w:ascii="Arial" w:eastAsia="Times New Roman" w:hAnsi="Arial" w:cs="Arial"/>
          <w:lang w:eastAsia="fr-FR"/>
        </w:rPr>
        <w:t>d’une</w:t>
      </w:r>
      <w:r w:rsidR="00E14D89">
        <w:rPr>
          <w:rFonts w:ascii="Arial" w:eastAsia="Times New Roman" w:hAnsi="Arial" w:cs="Arial"/>
          <w:lang w:eastAsia="fr-FR"/>
        </w:rPr>
        <w:t xml:space="preserve"> forte quantité ingérée</w:t>
      </w:r>
      <w:r w:rsidR="00FC5A39">
        <w:rPr>
          <w:rFonts w:ascii="Arial" w:eastAsia="Times New Roman" w:hAnsi="Arial" w:cs="Arial"/>
          <w:lang w:eastAsia="fr-FR"/>
        </w:rPr>
        <w:t xml:space="preserve">. </w:t>
      </w:r>
    </w:p>
    <w:p w14:paraId="3A2AD892" w14:textId="6EB36366" w:rsidR="00E14D89" w:rsidRDefault="00E14D89" w:rsidP="008D33AB">
      <w:p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L’alcool es</w:t>
      </w:r>
      <w:r w:rsidR="00C81C42">
        <w:rPr>
          <w:rFonts w:ascii="Arial" w:eastAsia="Times New Roman" w:hAnsi="Arial" w:cs="Arial"/>
          <w:lang w:eastAsia="fr-FR"/>
        </w:rPr>
        <w:t>t</w:t>
      </w:r>
      <w:r>
        <w:rPr>
          <w:rFonts w:ascii="Arial" w:eastAsia="Times New Roman" w:hAnsi="Arial" w:cs="Arial"/>
          <w:lang w:eastAsia="fr-FR"/>
        </w:rPr>
        <w:t xml:space="preserve"> librement distribué dans l’eau corporelle, les différents tissus de l’organisme </w:t>
      </w:r>
      <w:r w:rsidR="00612E58">
        <w:rPr>
          <w:rFonts w:ascii="Arial" w:eastAsia="Times New Roman" w:hAnsi="Arial" w:cs="Arial"/>
          <w:lang w:eastAsia="fr-FR"/>
        </w:rPr>
        <w:t>et notamment</w:t>
      </w:r>
      <w:r>
        <w:rPr>
          <w:rFonts w:ascii="Arial" w:eastAsia="Times New Roman" w:hAnsi="Arial" w:cs="Arial"/>
          <w:lang w:eastAsia="fr-FR"/>
        </w:rPr>
        <w:t xml:space="preserve"> </w:t>
      </w:r>
      <w:r w:rsidR="00C81C42">
        <w:rPr>
          <w:rFonts w:ascii="Arial" w:eastAsia="Times New Roman" w:hAnsi="Arial" w:cs="Arial"/>
          <w:lang w:eastAsia="fr-FR"/>
        </w:rPr>
        <w:t xml:space="preserve">dans </w:t>
      </w:r>
      <w:r>
        <w:rPr>
          <w:rFonts w:ascii="Arial" w:eastAsia="Times New Roman" w:hAnsi="Arial" w:cs="Arial"/>
          <w:lang w:eastAsia="fr-FR"/>
        </w:rPr>
        <w:t>le cerveau et le placenta.</w:t>
      </w:r>
    </w:p>
    <w:p w14:paraId="52B333A3" w14:textId="4BF87D4A" w:rsidR="00D57CB8" w:rsidRDefault="00FC5A39" w:rsidP="008D33AB">
      <w:p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L’</w:t>
      </w:r>
      <w:r w:rsidR="00612E58">
        <w:rPr>
          <w:rFonts w:ascii="Arial" w:eastAsia="Times New Roman" w:hAnsi="Arial" w:cs="Arial"/>
          <w:lang w:eastAsia="fr-FR"/>
        </w:rPr>
        <w:t>alcool</w:t>
      </w:r>
      <w:r>
        <w:rPr>
          <w:rFonts w:ascii="Arial" w:eastAsia="Times New Roman" w:hAnsi="Arial" w:cs="Arial"/>
          <w:lang w:eastAsia="fr-FR"/>
        </w:rPr>
        <w:t xml:space="preserve"> métabolisé n’a plus aucune act</w:t>
      </w:r>
      <w:r w:rsidR="00533F3F">
        <w:rPr>
          <w:rFonts w:ascii="Arial" w:eastAsia="Times New Roman" w:hAnsi="Arial" w:cs="Arial"/>
          <w:lang w:eastAsia="fr-FR"/>
        </w:rPr>
        <w:t>ivité</w:t>
      </w:r>
      <w:r w:rsidR="004F265A">
        <w:rPr>
          <w:rFonts w:ascii="Arial" w:eastAsia="Times New Roman" w:hAnsi="Arial" w:cs="Arial"/>
          <w:lang w:eastAsia="fr-FR"/>
        </w:rPr>
        <w:t xml:space="preserve"> : acéthyladhéide puis acétate puis acétyl-CoA </w:t>
      </w:r>
    </w:p>
    <w:p w14:paraId="3721CA72" w14:textId="20424CCD" w:rsidR="00533F3F" w:rsidRPr="004F265A" w:rsidRDefault="00533F3F" w:rsidP="008D33AB">
      <w:pPr>
        <w:spacing w:before="100" w:beforeAutospacing="1" w:after="100" w:afterAutospacing="1" w:line="240" w:lineRule="auto"/>
        <w:rPr>
          <w:rFonts w:ascii="Arial" w:eastAsia="Times New Roman" w:hAnsi="Arial" w:cs="Arial"/>
          <w:b/>
          <w:bCs/>
          <w:lang w:eastAsia="fr-FR"/>
        </w:rPr>
      </w:pPr>
      <w:r w:rsidRPr="004F265A">
        <w:rPr>
          <w:rFonts w:ascii="Arial" w:eastAsia="Times New Roman" w:hAnsi="Arial" w:cs="Arial"/>
          <w:b/>
          <w:bCs/>
          <w:lang w:eastAsia="fr-FR"/>
        </w:rPr>
        <w:t>Elimination de l’alcool :</w:t>
      </w:r>
    </w:p>
    <w:p w14:paraId="3E33326E" w14:textId="7704F8F5" w:rsidR="00D57CB8" w:rsidRDefault="00533F3F" w:rsidP="00C07E28">
      <w:pPr>
        <w:pStyle w:val="Paragraphedeliste"/>
        <w:numPr>
          <w:ilvl w:val="0"/>
          <w:numId w:val="27"/>
        </w:numPr>
        <w:spacing w:before="100" w:beforeAutospacing="1" w:after="100" w:afterAutospacing="1" w:line="240" w:lineRule="auto"/>
        <w:rPr>
          <w:rFonts w:ascii="Arial" w:eastAsia="Times New Roman" w:hAnsi="Arial" w:cs="Arial"/>
          <w:lang w:eastAsia="fr-FR"/>
        </w:rPr>
      </w:pPr>
      <w:r w:rsidRPr="00533F3F">
        <w:rPr>
          <w:rFonts w:ascii="Arial" w:eastAsia="Times New Roman" w:hAnsi="Arial" w:cs="Arial"/>
          <w:lang w:eastAsia="fr-FR"/>
        </w:rPr>
        <w:t xml:space="preserve">Elimination de l’alcool ingéré par l’oxydation enzymatique </w:t>
      </w:r>
      <w:r>
        <w:rPr>
          <w:rFonts w:ascii="Arial" w:eastAsia="Times New Roman" w:hAnsi="Arial" w:cs="Arial"/>
          <w:lang w:eastAsia="fr-FR"/>
        </w:rPr>
        <w:t xml:space="preserve">(plus de 90% de l’alcool ingéré) et </w:t>
      </w:r>
      <w:r w:rsidR="00612E58">
        <w:rPr>
          <w:rFonts w:ascii="Arial" w:eastAsia="Times New Roman" w:hAnsi="Arial" w:cs="Arial"/>
          <w:lang w:eastAsia="fr-FR"/>
        </w:rPr>
        <w:t>moins</w:t>
      </w:r>
      <w:r>
        <w:rPr>
          <w:rFonts w:ascii="Arial" w:eastAsia="Times New Roman" w:hAnsi="Arial" w:cs="Arial"/>
          <w:lang w:eastAsia="fr-FR"/>
        </w:rPr>
        <w:t xml:space="preserve"> de 10% dans l’air expiré, les urines et la sueur</w:t>
      </w:r>
    </w:p>
    <w:p w14:paraId="5AACCD22" w14:textId="65D9E3E8" w:rsidR="00533F3F" w:rsidRDefault="00533F3F" w:rsidP="00C07E28">
      <w:pPr>
        <w:pStyle w:val="Paragraphedeliste"/>
        <w:numPr>
          <w:ilvl w:val="0"/>
          <w:numId w:val="27"/>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lastRenderedPageBreak/>
        <w:t>Elimination de l’</w:t>
      </w:r>
      <w:r w:rsidR="006428B0">
        <w:rPr>
          <w:rFonts w:ascii="Arial" w:eastAsia="Times New Roman" w:hAnsi="Arial" w:cs="Arial"/>
          <w:lang w:eastAsia="fr-FR"/>
        </w:rPr>
        <w:t>alcool</w:t>
      </w:r>
      <w:r>
        <w:rPr>
          <w:rFonts w:ascii="Arial" w:eastAsia="Times New Roman" w:hAnsi="Arial" w:cs="Arial"/>
          <w:lang w:eastAsia="fr-FR"/>
        </w:rPr>
        <w:t xml:space="preserve"> à une vitesse de 0,15g/L/H ce qui correspond à 7 grammes d’éthanol par heure ce qui correspond à 1 heure pur perdre 015g d’alcool pour </w:t>
      </w:r>
      <w:r w:rsidR="006428B0">
        <w:rPr>
          <w:rFonts w:ascii="Arial" w:eastAsia="Times New Roman" w:hAnsi="Arial" w:cs="Arial"/>
          <w:lang w:eastAsia="fr-FR"/>
        </w:rPr>
        <w:t>un adulte avec 5 litres de sang</w:t>
      </w:r>
      <w:r w:rsidR="0048530A">
        <w:rPr>
          <w:rFonts w:ascii="Arial" w:eastAsia="Times New Roman" w:hAnsi="Arial" w:cs="Arial"/>
          <w:lang w:eastAsia="fr-FR"/>
        </w:rPr>
        <w:t>.</w:t>
      </w:r>
    </w:p>
    <w:p w14:paraId="427B69E5" w14:textId="49AF96EB" w:rsidR="0048530A" w:rsidRPr="00533F3F" w:rsidRDefault="0048530A" w:rsidP="00C07E28">
      <w:pPr>
        <w:pStyle w:val="Paragraphedeliste"/>
        <w:numPr>
          <w:ilvl w:val="0"/>
          <w:numId w:val="27"/>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 xml:space="preserve">Un gramme d’alcool ingéré apporte 7 </w:t>
      </w:r>
      <w:r w:rsidR="00BF6607">
        <w:rPr>
          <w:rFonts w:ascii="Arial" w:eastAsia="Times New Roman" w:hAnsi="Arial" w:cs="Arial"/>
          <w:lang w:eastAsia="fr-FR"/>
        </w:rPr>
        <w:t>Kcal, soit</w:t>
      </w:r>
      <w:r>
        <w:rPr>
          <w:rFonts w:ascii="Arial" w:eastAsia="Times New Roman" w:hAnsi="Arial" w:cs="Arial"/>
          <w:lang w:eastAsia="fr-FR"/>
        </w:rPr>
        <w:t xml:space="preserve"> 7 « calories classiques »</w:t>
      </w:r>
    </w:p>
    <w:p w14:paraId="407F2248" w14:textId="77777777" w:rsidR="00D57CB8" w:rsidRPr="008D33AB" w:rsidRDefault="00D57CB8" w:rsidP="008D33AB">
      <w:pPr>
        <w:spacing w:before="100" w:beforeAutospacing="1" w:after="100" w:afterAutospacing="1" w:line="240" w:lineRule="auto"/>
        <w:rPr>
          <w:rFonts w:ascii="Arial" w:eastAsia="Times New Roman" w:hAnsi="Arial" w:cs="Arial"/>
          <w:lang w:eastAsia="fr-FR"/>
        </w:rPr>
      </w:pPr>
    </w:p>
    <w:p w14:paraId="7C937FE5" w14:textId="77777777" w:rsidR="008D33AB" w:rsidRPr="008D33AB" w:rsidRDefault="008D33AB" w:rsidP="008D33AB">
      <w:pPr>
        <w:shd w:val="clear" w:color="auto" w:fill="FFFFFF"/>
        <w:spacing w:before="120" w:after="0"/>
        <w:rPr>
          <w:rFonts w:ascii="Arial" w:eastAsia="Times New Roman" w:hAnsi="Arial" w:cs="Arial"/>
          <w:lang w:eastAsia="fr-FR"/>
        </w:rPr>
      </w:pPr>
    </w:p>
    <w:p w14:paraId="77FDCBC3" w14:textId="77777777" w:rsidR="008D33AB" w:rsidRPr="008D33AB" w:rsidRDefault="008D33AB" w:rsidP="008D33AB">
      <w:pPr>
        <w:shd w:val="clear" w:color="auto" w:fill="FFFFFF"/>
        <w:spacing w:before="120" w:after="0"/>
        <w:rPr>
          <w:rFonts w:ascii="Arial" w:eastAsia="Times New Roman" w:hAnsi="Arial" w:cs="Arial"/>
          <w:lang w:eastAsia="fr-FR"/>
        </w:rPr>
      </w:pPr>
    </w:p>
    <w:p w14:paraId="5E7EEA54" w14:textId="77777777" w:rsidR="008D33AB" w:rsidRPr="008D33AB" w:rsidRDefault="008D33AB" w:rsidP="008D33AB">
      <w:pPr>
        <w:spacing w:before="100" w:beforeAutospacing="1" w:after="100" w:afterAutospacing="1" w:line="240" w:lineRule="auto"/>
        <w:outlineLvl w:val="1"/>
        <w:rPr>
          <w:rFonts w:ascii="Arial" w:eastAsia="Times New Roman" w:hAnsi="Arial" w:cs="Arial"/>
          <w:b/>
          <w:bCs/>
          <w:sz w:val="24"/>
          <w:szCs w:val="24"/>
          <w:lang w:eastAsia="fr-FR"/>
        </w:rPr>
      </w:pPr>
      <w:r w:rsidRPr="008D33AB">
        <w:rPr>
          <w:rFonts w:ascii="Arial" w:eastAsia="Times New Roman" w:hAnsi="Arial" w:cs="Arial"/>
          <w:b/>
          <w:bCs/>
          <w:sz w:val="24"/>
          <w:szCs w:val="24"/>
          <w:lang w:eastAsia="fr-FR"/>
        </w:rPr>
        <w:t>Quantité d'alcool ingéré, alcoolémie théorique, nature de l'alcool</w:t>
      </w:r>
    </w:p>
    <w:p w14:paraId="45F08756" w14:textId="77777777" w:rsidR="008D33AB" w:rsidRPr="008D33AB" w:rsidRDefault="008D33AB" w:rsidP="008D33AB">
      <w:pPr>
        <w:spacing w:before="100" w:beforeAutospacing="1" w:after="100" w:afterAutospacing="1" w:line="240" w:lineRule="auto"/>
        <w:rPr>
          <w:rFonts w:ascii="Arial" w:eastAsia="Times New Roman" w:hAnsi="Arial" w:cs="Arial"/>
          <w:i/>
          <w:iCs/>
          <w:lang w:eastAsia="fr-FR"/>
        </w:rPr>
      </w:pPr>
      <w:r w:rsidRPr="008D33AB">
        <w:rPr>
          <w:rFonts w:ascii="Arial" w:eastAsia="Times New Roman" w:hAnsi="Arial" w:cs="Arial"/>
          <w:i/>
          <w:iCs/>
          <w:lang w:eastAsia="fr-FR"/>
        </w:rPr>
        <w:t>Quelques définitions</w:t>
      </w:r>
    </w:p>
    <w:p w14:paraId="3784BA85" w14:textId="77777777" w:rsidR="008D33AB" w:rsidRPr="008D33AB" w:rsidRDefault="008D33AB" w:rsidP="008D33AB">
      <w:pPr>
        <w:numPr>
          <w:ilvl w:val="0"/>
          <w:numId w:val="14"/>
        </w:numPr>
        <w:spacing w:before="100" w:beforeAutospacing="1" w:after="100" w:afterAutospacing="1" w:line="240" w:lineRule="auto"/>
        <w:rPr>
          <w:rFonts w:ascii="Arial" w:eastAsia="Times New Roman" w:hAnsi="Arial" w:cs="Arial"/>
          <w:lang w:eastAsia="fr-FR"/>
        </w:rPr>
      </w:pPr>
      <w:r w:rsidRPr="008D33AB">
        <w:rPr>
          <w:rFonts w:ascii="Arial" w:eastAsiaTheme="majorEastAsia" w:hAnsi="Arial" w:cs="Arial"/>
          <w:color w:val="0F4761" w:themeColor="accent1" w:themeShade="BF"/>
          <w:sz w:val="40"/>
          <w:szCs w:val="40"/>
        </w:rPr>
        <w:t xml:space="preserve"> </w:t>
      </w:r>
      <w:r w:rsidRPr="008D33AB">
        <w:rPr>
          <w:rFonts w:ascii="Arial" w:hAnsi="Arial" w:cs="Arial"/>
        </w:rPr>
        <w:t>Indication en degré (°) ou en pourcentage (%) :  Indication correspondant à la quantité d'alcool pur contenue dans 100 ml. Ainsi, si une boisson fait 12° (ou est concentrée à 12 %), cela signifie que 100 ml de cette boisson contiennent 12 ml d'alcool pur pour 100 ml et 120 ml pour 1 litre. Poids et volume d’alcool sont des données différentes.</w:t>
      </w:r>
      <w:r w:rsidRPr="008D33AB">
        <w:rPr>
          <w:rFonts w:ascii="Arial" w:eastAsia="Times New Roman" w:hAnsi="Arial" w:cs="Arial"/>
          <w:lang w:eastAsia="fr-FR"/>
        </w:rPr>
        <w:br/>
      </w:r>
    </w:p>
    <w:p w14:paraId="79F456B5" w14:textId="77777777" w:rsidR="008D33AB" w:rsidRPr="008D33AB" w:rsidRDefault="008D33AB" w:rsidP="008D33AB">
      <w:pPr>
        <w:numPr>
          <w:ilvl w:val="0"/>
          <w:numId w:val="14"/>
        </w:numPr>
        <w:spacing w:before="100" w:beforeAutospacing="1" w:after="100" w:afterAutospacing="1" w:line="240" w:lineRule="auto"/>
        <w:rPr>
          <w:rFonts w:ascii="Arial" w:eastAsia="Times New Roman" w:hAnsi="Arial" w:cs="Arial"/>
          <w:lang w:eastAsia="fr-FR"/>
        </w:rPr>
      </w:pPr>
      <w:r w:rsidRPr="008D33AB">
        <w:rPr>
          <w:rFonts w:ascii="Arial" w:eastAsia="Times New Roman" w:hAnsi="Arial" w:cs="Arial"/>
          <w:lang w:eastAsia="fr-FR"/>
        </w:rPr>
        <w:t>Le calcul du poids d'alcool, en grammes, contenu dans une boisson, impose de tenir compte de la densité spécifique de l'alcool (0,8) :</w:t>
      </w:r>
      <w:r w:rsidRPr="008D33AB">
        <w:rPr>
          <w:rFonts w:ascii="Arial" w:eastAsia="Times New Roman" w:hAnsi="Arial" w:cs="Arial"/>
          <w:lang w:eastAsia="fr-FR"/>
        </w:rPr>
        <w:br/>
        <w:t>Poids d'alcool (en g) = Volume d'alcool pur (en ml) x 0,8</w:t>
      </w:r>
      <w:r w:rsidRPr="008D33AB">
        <w:rPr>
          <w:rFonts w:ascii="Arial" w:eastAsia="Times New Roman" w:hAnsi="Arial" w:cs="Arial"/>
          <w:lang w:eastAsia="fr-FR"/>
        </w:rPr>
        <w:br/>
      </w:r>
      <w:r w:rsidRPr="008D33AB">
        <w:rPr>
          <w:rFonts w:ascii="Arial" w:eastAsia="Times New Roman" w:hAnsi="Arial" w:cs="Arial"/>
          <w:i/>
          <w:iCs/>
          <w:lang w:eastAsia="fr-FR"/>
        </w:rPr>
        <w:t>Exemple : Une bouteille de vin de 75 cl à 12° contient 90 ml d’alcool soit 72 grammes d'alcool pur.</w:t>
      </w:r>
      <w:r w:rsidRPr="008D33AB">
        <w:rPr>
          <w:rFonts w:ascii="Arial" w:eastAsia="Times New Roman" w:hAnsi="Arial" w:cs="Arial"/>
          <w:lang w:eastAsia="fr-FR"/>
        </w:rPr>
        <w:t xml:space="preserve"> </w:t>
      </w:r>
    </w:p>
    <w:p w14:paraId="2DAF4827" w14:textId="77777777" w:rsidR="008D33AB" w:rsidRPr="008D33AB" w:rsidRDefault="008D33AB" w:rsidP="008D33AB">
      <w:pPr>
        <w:spacing w:before="100" w:beforeAutospacing="1" w:after="100" w:afterAutospacing="1" w:line="240" w:lineRule="auto"/>
        <w:rPr>
          <w:rFonts w:ascii="Arial" w:eastAsia="Times New Roman" w:hAnsi="Arial" w:cs="Arial"/>
          <w:lang w:eastAsia="fr-FR"/>
        </w:rPr>
      </w:pPr>
    </w:p>
    <w:p w14:paraId="386FD74F" w14:textId="09207719" w:rsidR="008D33AB" w:rsidRPr="008D33AB" w:rsidRDefault="008D33AB" w:rsidP="008D33AB">
      <w:pPr>
        <w:numPr>
          <w:ilvl w:val="0"/>
          <w:numId w:val="14"/>
        </w:numPr>
        <w:spacing w:before="100" w:beforeAutospacing="1" w:after="100" w:afterAutospacing="1" w:line="240" w:lineRule="auto"/>
        <w:rPr>
          <w:rFonts w:ascii="Arial" w:eastAsia="Times New Roman" w:hAnsi="Arial" w:cs="Arial"/>
          <w:lang w:eastAsia="fr-FR"/>
        </w:rPr>
      </w:pPr>
      <w:r w:rsidRPr="008D33AB">
        <w:rPr>
          <w:rFonts w:ascii="Arial" w:eastAsia="Times New Roman" w:hAnsi="Arial" w:cs="Arial"/>
          <w:lang w:eastAsia="fr-FR"/>
        </w:rPr>
        <w:t>Le calcul de l'alcoolémie théorique fait appel à une équation générale de pharmacocinétique</w:t>
      </w:r>
      <w:r w:rsidRPr="008D33AB">
        <w:rPr>
          <w:rFonts w:ascii="Arial" w:eastAsia="Times New Roman" w:hAnsi="Arial" w:cs="Arial"/>
          <w:lang w:eastAsia="fr-FR"/>
        </w:rPr>
        <w:br/>
        <w:t>Concentration plasmatique = Quantité administrée (en gramme) / Volume de distribution (en litre). Comme l'alcool diffuse dans l'eau totale de l'organisme (volume de distribution), on obtient pour l'alcool</w:t>
      </w:r>
      <w:r w:rsidRPr="008D33AB">
        <w:rPr>
          <w:rFonts w:ascii="Arial" w:eastAsia="Times New Roman" w:hAnsi="Arial" w:cs="Arial"/>
          <w:lang w:eastAsia="fr-FR"/>
        </w:rPr>
        <w:br/>
        <w:t>Alcoolémie = [volume de liquide alcoolisé (en ml) x %</w:t>
      </w:r>
      <w:r w:rsidR="002200A9" w:rsidRPr="008D33AB">
        <w:rPr>
          <w:rFonts w:ascii="Arial" w:eastAsia="Times New Roman" w:hAnsi="Arial" w:cs="Arial"/>
          <w:lang w:eastAsia="fr-FR"/>
        </w:rPr>
        <w:t>Vol. (</w:t>
      </w:r>
      <w:r w:rsidRPr="008D33AB">
        <w:rPr>
          <w:rFonts w:ascii="Arial" w:eastAsia="Times New Roman" w:hAnsi="Arial" w:cs="Arial"/>
          <w:lang w:eastAsia="fr-FR"/>
        </w:rPr>
        <w:t xml:space="preserve">/100) x 0,8] / [poids (en Kg) x 0,7 (homme) ou 0,6 (femme) ou 0,8 (enfant)] </w:t>
      </w:r>
    </w:p>
    <w:p w14:paraId="35A3D50E" w14:textId="77777777" w:rsidR="008D33AB" w:rsidRPr="008D33AB" w:rsidRDefault="008D33AB" w:rsidP="008D33AB">
      <w:pPr>
        <w:spacing w:before="100" w:beforeAutospacing="1" w:after="100" w:afterAutospacing="1" w:line="240" w:lineRule="auto"/>
        <w:ind w:left="720"/>
        <w:rPr>
          <w:rFonts w:ascii="Arial" w:eastAsia="Times New Roman" w:hAnsi="Arial" w:cs="Arial"/>
          <w:lang w:eastAsia="fr-FR"/>
        </w:rPr>
      </w:pPr>
      <w:r w:rsidRPr="008D33AB">
        <w:rPr>
          <w:rFonts w:ascii="Arial" w:eastAsia="Times New Roman" w:hAnsi="Arial" w:cs="Arial"/>
          <w:i/>
          <w:iCs/>
          <w:lang w:eastAsia="fr-FR"/>
        </w:rPr>
        <w:t>Exemple : Homme de 70 kg ; absorption de 1000 ml de vin à 10°</w:t>
      </w:r>
      <w:r w:rsidRPr="008D33AB">
        <w:rPr>
          <w:rFonts w:ascii="Arial" w:eastAsia="Times New Roman" w:hAnsi="Arial" w:cs="Arial"/>
          <w:i/>
          <w:iCs/>
          <w:lang w:eastAsia="fr-FR"/>
        </w:rPr>
        <w:sym w:font="Wingdings" w:char="F0E8"/>
      </w:r>
      <w:r w:rsidRPr="008D33AB">
        <w:rPr>
          <w:rFonts w:ascii="Arial" w:eastAsia="Times New Roman" w:hAnsi="Arial" w:cs="Arial"/>
          <w:i/>
          <w:iCs/>
          <w:lang w:eastAsia="fr-FR"/>
        </w:rPr>
        <w:t xml:space="preserve"> </w:t>
      </w:r>
      <w:r w:rsidRPr="008D33AB">
        <w:rPr>
          <w:rFonts w:ascii="Arial" w:eastAsia="Times New Roman" w:hAnsi="Arial" w:cs="Arial"/>
          <w:lang w:eastAsia="fr-FR"/>
        </w:rPr>
        <w:br/>
        <w:t>Alcoolémie (g/l) = [1000 x 10/100 x 0,8] / [70 x 0,7] = 1,63 g/l. En considérant que l’absorption de ce vin se fait en un instant.</w:t>
      </w:r>
    </w:p>
    <w:p w14:paraId="69314E61" w14:textId="65AEE43C" w:rsidR="008D33AB" w:rsidRPr="008D33AB" w:rsidRDefault="008D33AB" w:rsidP="008D33AB">
      <w:pPr>
        <w:numPr>
          <w:ilvl w:val="0"/>
          <w:numId w:val="16"/>
        </w:numPr>
        <w:shd w:val="clear" w:color="auto" w:fill="FFFFFF"/>
        <w:spacing w:before="120" w:beforeAutospacing="1" w:after="0" w:afterAutospacing="1" w:line="240" w:lineRule="auto"/>
        <w:contextualSpacing/>
        <w:rPr>
          <w:rFonts w:ascii="Arial" w:eastAsia="Times New Roman" w:hAnsi="Arial" w:cs="Arial"/>
          <w:color w:val="202122"/>
          <w:sz w:val="21"/>
          <w:szCs w:val="21"/>
          <w:lang w:eastAsia="fr-FR"/>
        </w:rPr>
      </w:pPr>
      <w:r w:rsidRPr="008D33AB">
        <w:rPr>
          <w:rFonts w:ascii="Arial" w:eastAsia="Times New Roman" w:hAnsi="Arial" w:cs="Arial"/>
          <w:lang w:eastAsia="fr-FR"/>
        </w:rPr>
        <w:t>Le volume de distribution de l’éthanol est en moyenne de 0,50 l/kg chez la femme et 0,65l/kg chez l’homme. Le volume de distribution, ou volume apparent de distribution, est un paramètre caractérisant la distribution de la </w:t>
      </w:r>
      <w:hyperlink r:id="rId7" w:tooltip="Substance active (médicament)" w:history="1">
        <w:r w:rsidRPr="008D33AB">
          <w:rPr>
            <w:rFonts w:ascii="Arial" w:eastAsia="Times New Roman" w:hAnsi="Arial" w:cs="Arial"/>
            <w:lang w:eastAsia="fr-FR"/>
          </w:rPr>
          <w:t>substance active</w:t>
        </w:r>
      </w:hyperlink>
      <w:r w:rsidRPr="008D33AB">
        <w:rPr>
          <w:rFonts w:ascii="Arial" w:eastAsia="Times New Roman" w:hAnsi="Arial" w:cs="Arial"/>
          <w:lang w:eastAsia="fr-FR"/>
        </w:rPr>
        <w:t xml:space="preserve">  dans le corps humain. Plus ce volume est faible, plus le composant est réputé rester dans le sang donc augmentation du </w:t>
      </w:r>
      <w:proofErr w:type="gramStart"/>
      <w:r w:rsidRPr="008D33AB">
        <w:rPr>
          <w:rFonts w:ascii="Arial" w:eastAsia="Times New Roman" w:hAnsi="Arial" w:cs="Arial"/>
          <w:lang w:eastAsia="fr-FR"/>
        </w:rPr>
        <w:t>taux d’alcoolémie</w:t>
      </w:r>
      <w:proofErr w:type="gramEnd"/>
      <w:r w:rsidRPr="008D33AB">
        <w:rPr>
          <w:rFonts w:ascii="Arial" w:eastAsia="Times New Roman" w:hAnsi="Arial" w:cs="Arial"/>
          <w:lang w:eastAsia="fr-FR"/>
        </w:rPr>
        <w:t xml:space="preserve"> ici </w:t>
      </w:r>
    </w:p>
    <w:p w14:paraId="2398C657" w14:textId="77777777" w:rsidR="008D33AB" w:rsidRPr="008D33AB" w:rsidRDefault="008D33AB" w:rsidP="008D33AB">
      <w:pPr>
        <w:shd w:val="clear" w:color="auto" w:fill="FFFFFF"/>
        <w:spacing w:before="120" w:beforeAutospacing="1" w:after="0" w:afterAutospacing="1" w:line="240" w:lineRule="auto"/>
        <w:rPr>
          <w:rFonts w:ascii="Arial" w:eastAsia="Times New Roman" w:hAnsi="Arial" w:cs="Arial"/>
          <w:color w:val="202122"/>
          <w:sz w:val="21"/>
          <w:szCs w:val="21"/>
          <w:lang w:eastAsia="fr-FR"/>
        </w:rPr>
      </w:pPr>
    </w:p>
    <w:p w14:paraId="41FCD839" w14:textId="67A3F54F" w:rsidR="008D33AB" w:rsidRDefault="008D33AB" w:rsidP="007D7D01">
      <w:pPr>
        <w:numPr>
          <w:ilvl w:val="0"/>
          <w:numId w:val="17"/>
        </w:numPr>
        <w:shd w:val="clear" w:color="auto" w:fill="FFFFFF"/>
        <w:spacing w:after="24" w:line="240" w:lineRule="auto"/>
        <w:ind w:left="708"/>
        <w:contextualSpacing/>
        <w:rPr>
          <w:rFonts w:ascii="Arial" w:eastAsia="Times New Roman" w:hAnsi="Arial" w:cs="Arial"/>
          <w:lang w:eastAsia="fr-FR"/>
        </w:rPr>
      </w:pPr>
      <w:r w:rsidRPr="00612E58">
        <w:rPr>
          <w:rFonts w:ascii="Cambria Math" w:eastAsia="Times New Roman" w:hAnsi="Cambria Math" w:cs="Cambria Math"/>
          <w:vanish/>
          <w:color w:val="202122"/>
          <w:sz w:val="21"/>
          <w:szCs w:val="21"/>
          <w:lang w:eastAsia="fr-FR"/>
        </w:rPr>
        <w:t>𝑉𝐷</w:t>
      </w:r>
      <w:r w:rsidRPr="00612E58">
        <w:rPr>
          <w:rFonts w:ascii="Arial" w:eastAsia="Times New Roman" w:hAnsi="Arial" w:cs="Arial"/>
          <w:vanish/>
          <w:color w:val="202122"/>
          <w:sz w:val="21"/>
          <w:szCs w:val="21"/>
          <w:lang w:eastAsia="fr-FR"/>
        </w:rPr>
        <w:t>=quantite totale administree de medicamentconcentration plasmatique du medicament</w:t>
      </w:r>
      <w:r w:rsidRPr="00612E58">
        <w:rPr>
          <w:rFonts w:ascii="Arial" w:eastAsia="Times New Roman" w:hAnsi="Arial" w:cs="Arial"/>
          <w:lang w:eastAsia="fr-FR"/>
        </w:rPr>
        <w:t>Après absorption, la distribution de l’éthanol se fait en quelques minutes (demi-vie de distribution : 7 à 8 minutes) vers les organes très vascularisés comme le cerveau, les poumons et le foie.</w:t>
      </w:r>
      <w:r w:rsidRPr="00612E58">
        <w:rPr>
          <w:rFonts w:ascii="Arial" w:eastAsia="Times New Roman" w:hAnsi="Arial" w:cs="Arial"/>
          <w:lang w:eastAsia="fr-FR"/>
        </w:rPr>
        <w:br/>
      </w:r>
    </w:p>
    <w:p w14:paraId="69ED397C" w14:textId="77777777" w:rsidR="00612E58" w:rsidRPr="00612E58" w:rsidRDefault="00612E58" w:rsidP="00612E58">
      <w:pPr>
        <w:shd w:val="clear" w:color="auto" w:fill="FFFFFF"/>
        <w:spacing w:after="24" w:line="240" w:lineRule="auto"/>
        <w:contextualSpacing/>
        <w:rPr>
          <w:rFonts w:ascii="Arial" w:eastAsia="Times New Roman" w:hAnsi="Arial" w:cs="Arial"/>
          <w:lang w:eastAsia="fr-FR"/>
        </w:rPr>
      </w:pPr>
    </w:p>
    <w:p w14:paraId="1BFFECE2" w14:textId="77777777" w:rsidR="008D33AB" w:rsidRPr="008D33AB" w:rsidRDefault="008D33AB" w:rsidP="008D33AB">
      <w:pPr>
        <w:shd w:val="clear" w:color="auto" w:fill="FFFFFF"/>
        <w:spacing w:after="24" w:line="240" w:lineRule="auto"/>
        <w:ind w:left="708"/>
        <w:rPr>
          <w:rFonts w:ascii="Arial" w:eastAsia="Times New Roman" w:hAnsi="Arial" w:cs="Arial"/>
          <w:b/>
          <w:bCs/>
          <w:lang w:eastAsia="fr-FR"/>
        </w:rPr>
      </w:pPr>
    </w:p>
    <w:p w14:paraId="442F5C57" w14:textId="77777777" w:rsidR="008D33AB" w:rsidRPr="008D33AB" w:rsidRDefault="008D33AB" w:rsidP="008D33AB">
      <w:pPr>
        <w:shd w:val="clear" w:color="auto" w:fill="FFFFFF"/>
        <w:spacing w:after="24" w:line="240" w:lineRule="auto"/>
        <w:rPr>
          <w:rFonts w:ascii="Arial" w:eastAsia="Times New Roman" w:hAnsi="Arial" w:cs="Arial"/>
          <w:b/>
          <w:bCs/>
          <w:color w:val="202122"/>
          <w:sz w:val="24"/>
          <w:szCs w:val="24"/>
          <w:lang w:eastAsia="fr-FR"/>
        </w:rPr>
      </w:pPr>
      <w:r w:rsidRPr="008D33AB">
        <w:rPr>
          <w:rFonts w:ascii="Arial" w:eastAsia="Times New Roman" w:hAnsi="Arial" w:cs="Arial"/>
          <w:b/>
          <w:bCs/>
          <w:sz w:val="24"/>
          <w:szCs w:val="24"/>
          <w:lang w:eastAsia="fr-FR"/>
        </w:rPr>
        <w:lastRenderedPageBreak/>
        <w:t>La pharmacocinétique de l’éthanol :</w:t>
      </w:r>
    </w:p>
    <w:p w14:paraId="67F63EF5" w14:textId="77777777" w:rsidR="008D33AB" w:rsidRPr="008D33AB" w:rsidRDefault="008D33AB" w:rsidP="008D33AB">
      <w:pPr>
        <w:numPr>
          <w:ilvl w:val="0"/>
          <w:numId w:val="13"/>
        </w:numPr>
        <w:spacing w:before="100" w:beforeAutospacing="1" w:after="100" w:afterAutospacing="1" w:line="240" w:lineRule="auto"/>
        <w:rPr>
          <w:rFonts w:ascii="Arial" w:eastAsia="Times New Roman" w:hAnsi="Arial" w:cs="Arial"/>
          <w:lang w:eastAsia="fr-FR"/>
        </w:rPr>
      </w:pPr>
      <w:r w:rsidRPr="008D33AB">
        <w:rPr>
          <w:rFonts w:ascii="Arial" w:eastAsia="Times New Roman" w:hAnsi="Arial" w:cs="Arial"/>
          <w:lang w:eastAsia="fr-FR"/>
        </w:rPr>
        <w:t>Est différente chez l’homme et chez la femme, celle-ci ayant une masse grasse plus importante ce qui entraîne une alcoolémie (taux d’alcool dans le sang) plus élevée pour une même quantité ingérée.</w:t>
      </w:r>
    </w:p>
    <w:p w14:paraId="6CDA3689" w14:textId="77777777" w:rsidR="008D33AB" w:rsidRPr="008D33AB" w:rsidRDefault="008D33AB" w:rsidP="008D33AB">
      <w:pPr>
        <w:numPr>
          <w:ilvl w:val="0"/>
          <w:numId w:val="13"/>
        </w:numPr>
        <w:spacing w:before="100" w:beforeAutospacing="1" w:after="100" w:afterAutospacing="1" w:line="240" w:lineRule="auto"/>
        <w:rPr>
          <w:rFonts w:ascii="Arial" w:eastAsia="Times New Roman" w:hAnsi="Arial" w:cs="Arial"/>
          <w:lang w:eastAsia="fr-FR"/>
        </w:rPr>
      </w:pPr>
      <w:r w:rsidRPr="008D33AB">
        <w:rPr>
          <w:rFonts w:ascii="Arial" w:eastAsia="Times New Roman" w:hAnsi="Arial" w:cs="Arial"/>
          <w:lang w:eastAsia="fr-FR"/>
        </w:rPr>
        <w:t>Varie avec l’âge car la répartition entre masse grasse et masse maigre évolue au cours du temps chez l’homme et la femme. </w:t>
      </w:r>
    </w:p>
    <w:p w14:paraId="0A6B1770" w14:textId="77777777" w:rsidR="008D33AB" w:rsidRPr="003E1299" w:rsidRDefault="008D33AB" w:rsidP="008D33AB">
      <w:pPr>
        <w:numPr>
          <w:ilvl w:val="0"/>
          <w:numId w:val="13"/>
        </w:numPr>
        <w:spacing w:before="100" w:beforeAutospacing="1" w:after="100" w:afterAutospacing="1" w:line="240" w:lineRule="auto"/>
        <w:rPr>
          <w:rFonts w:ascii="Arial" w:eastAsia="Times New Roman" w:hAnsi="Arial" w:cs="Arial"/>
          <w:lang w:eastAsia="fr-FR"/>
        </w:rPr>
      </w:pPr>
      <w:r w:rsidRPr="008D33AB">
        <w:rPr>
          <w:rFonts w:ascii="Arial" w:hAnsi="Arial" w:cs="Arial"/>
        </w:rPr>
        <w:t>Chiffre moyen d’élimination de l’alcool dans le sang : en moyenne et par heure 0,15 g d’alcool/litre de sang.</w:t>
      </w:r>
    </w:p>
    <w:p w14:paraId="5645A52C" w14:textId="77777777" w:rsidR="003E1299" w:rsidRPr="00F77E44" w:rsidRDefault="003E1299" w:rsidP="003E1299">
      <w:pPr>
        <w:spacing w:before="100" w:beforeAutospacing="1" w:after="100" w:afterAutospacing="1" w:line="240" w:lineRule="auto"/>
        <w:rPr>
          <w:rFonts w:ascii="Arial" w:eastAsia="Times New Roman" w:hAnsi="Arial" w:cs="Arial"/>
          <w:lang w:eastAsia="fr-FR"/>
        </w:rPr>
      </w:pPr>
    </w:p>
    <w:p w14:paraId="4AB8E5BB" w14:textId="051C59E5" w:rsidR="00F77E44" w:rsidRPr="003E1299" w:rsidRDefault="00F77E44" w:rsidP="00F77E44">
      <w:pPr>
        <w:spacing w:before="100" w:beforeAutospacing="1" w:after="100" w:afterAutospacing="1" w:line="240" w:lineRule="auto"/>
        <w:rPr>
          <w:rFonts w:ascii="Arial" w:hAnsi="Arial" w:cs="Arial"/>
          <w:b/>
          <w:bCs/>
          <w:sz w:val="24"/>
          <w:szCs w:val="24"/>
        </w:rPr>
      </w:pPr>
      <w:r w:rsidRPr="003E1299">
        <w:rPr>
          <w:rFonts w:ascii="Arial" w:hAnsi="Arial" w:cs="Arial"/>
          <w:b/>
          <w:bCs/>
          <w:sz w:val="24"/>
          <w:szCs w:val="24"/>
        </w:rPr>
        <w:t>Compléments</w:t>
      </w:r>
      <w:r w:rsidR="003E1299" w:rsidRPr="003E1299">
        <w:rPr>
          <w:rFonts w:ascii="Arial" w:hAnsi="Arial" w:cs="Arial"/>
          <w:b/>
          <w:bCs/>
          <w:sz w:val="24"/>
          <w:szCs w:val="24"/>
        </w:rPr>
        <w:t xml:space="preserve"> e</w:t>
      </w:r>
      <w:r w:rsidR="00C11190">
        <w:rPr>
          <w:rFonts w:ascii="Arial" w:hAnsi="Arial" w:cs="Arial"/>
          <w:b/>
          <w:bCs/>
          <w:sz w:val="24"/>
          <w:szCs w:val="24"/>
        </w:rPr>
        <w:t>t</w:t>
      </w:r>
      <w:r w:rsidR="003E1299" w:rsidRPr="003E1299">
        <w:rPr>
          <w:rFonts w:ascii="Arial" w:hAnsi="Arial" w:cs="Arial"/>
          <w:b/>
          <w:bCs/>
          <w:sz w:val="24"/>
          <w:szCs w:val="24"/>
        </w:rPr>
        <w:t xml:space="preserve"> curiosités </w:t>
      </w:r>
    </w:p>
    <w:p w14:paraId="7C7815CE" w14:textId="1C1A496A" w:rsidR="00F77E44" w:rsidRPr="003E1299" w:rsidRDefault="00F77E44" w:rsidP="00F77E44">
      <w:pPr>
        <w:pStyle w:val="Paragraphedeliste"/>
        <w:numPr>
          <w:ilvl w:val="0"/>
          <w:numId w:val="21"/>
        </w:numPr>
        <w:spacing w:before="100" w:beforeAutospacing="1" w:after="100" w:afterAutospacing="1" w:line="240" w:lineRule="auto"/>
        <w:rPr>
          <w:rFonts w:ascii="Arial" w:eastAsia="Times New Roman" w:hAnsi="Arial" w:cs="Arial"/>
          <w:b/>
          <w:bCs/>
          <w:lang w:eastAsia="fr-FR"/>
        </w:rPr>
      </w:pPr>
      <w:r w:rsidRPr="003E1299">
        <w:rPr>
          <w:rFonts w:ascii="Arial" w:eastAsia="Times New Roman" w:hAnsi="Arial" w:cs="Arial"/>
          <w:b/>
          <w:bCs/>
          <w:lang w:eastAsia="fr-FR"/>
        </w:rPr>
        <w:t>« L’alcoolémie naturelle »</w:t>
      </w:r>
    </w:p>
    <w:p w14:paraId="7F8465A8" w14:textId="4A749D80" w:rsidR="004468D2" w:rsidRDefault="00F77E44" w:rsidP="00F77E44">
      <w:pPr>
        <w:spacing w:before="100" w:beforeAutospacing="1" w:after="100" w:afterAutospacing="1" w:line="240" w:lineRule="auto"/>
        <w:ind w:left="360"/>
        <w:rPr>
          <w:rFonts w:ascii="Arial" w:eastAsia="Times New Roman" w:hAnsi="Arial" w:cs="Arial"/>
          <w:lang w:eastAsia="fr-FR"/>
        </w:rPr>
      </w:pPr>
      <w:r>
        <w:rPr>
          <w:rFonts w:ascii="Arial" w:eastAsia="Times New Roman" w:hAnsi="Arial" w:cs="Arial"/>
          <w:lang w:eastAsia="fr-FR"/>
        </w:rPr>
        <w:t xml:space="preserve">           </w:t>
      </w:r>
      <w:r w:rsidR="00D77C9E">
        <w:rPr>
          <w:rFonts w:ascii="Arial" w:eastAsia="Times New Roman" w:hAnsi="Arial" w:cs="Arial"/>
          <w:lang w:eastAsia="fr-FR"/>
        </w:rPr>
        <w:t>Fabrication</w:t>
      </w:r>
      <w:r>
        <w:rPr>
          <w:rFonts w:ascii="Arial" w:eastAsia="Times New Roman" w:hAnsi="Arial" w:cs="Arial"/>
          <w:lang w:eastAsia="fr-FR"/>
        </w:rPr>
        <w:t xml:space="preserve"> d’ét</w:t>
      </w:r>
      <w:r w:rsidR="00D77C9E">
        <w:rPr>
          <w:rFonts w:ascii="Arial" w:eastAsia="Times New Roman" w:hAnsi="Arial" w:cs="Arial"/>
          <w:lang w:eastAsia="fr-FR"/>
        </w:rPr>
        <w:t>hanol par le corps</w:t>
      </w:r>
      <w:r w:rsidR="004F265A">
        <w:rPr>
          <w:rFonts w:ascii="Arial" w:eastAsia="Times New Roman" w:hAnsi="Arial" w:cs="Arial"/>
          <w:lang w:eastAsia="fr-FR"/>
        </w:rPr>
        <w:t xml:space="preserve">, le microbiote intestinal, </w:t>
      </w:r>
      <w:r w:rsidR="00D77C9E">
        <w:rPr>
          <w:rFonts w:ascii="Arial" w:eastAsia="Times New Roman" w:hAnsi="Arial" w:cs="Arial"/>
          <w:lang w:eastAsia="fr-FR"/>
        </w:rPr>
        <w:t xml:space="preserve">lors du métabolisme des protéines. Selon le Dr Philippe BATEL (hôpital Beaujon à Paris) les quantités produites quotidiennement par le corps humain sont comprises entre 0,0001 g et 0,1 gramme. </w:t>
      </w:r>
      <w:r w:rsidR="00C81C42">
        <w:rPr>
          <w:rFonts w:ascii="Arial" w:eastAsia="Times New Roman" w:hAnsi="Arial" w:cs="Arial"/>
          <w:lang w:eastAsia="fr-FR"/>
        </w:rPr>
        <w:t xml:space="preserve">Le chiffre de 3 g par jour est retenu par le Pr PAQUOT, du CHU de Liège (Belgique) </w:t>
      </w:r>
      <w:r w:rsidR="004F265A">
        <w:rPr>
          <w:rFonts w:ascii="Arial" w:eastAsia="Times New Roman" w:hAnsi="Arial" w:cs="Arial"/>
          <w:lang w:eastAsia="fr-FR"/>
        </w:rPr>
        <w:t xml:space="preserve">Cet alccol autoproduit par fermentation est délivré via la veine porte au niveau du foie et donc rapidement métabolisé en acéthyladhéide par le foie. </w:t>
      </w:r>
      <w:r w:rsidR="00D77C9E">
        <w:rPr>
          <w:rFonts w:ascii="Arial" w:eastAsia="Times New Roman" w:hAnsi="Arial" w:cs="Arial"/>
          <w:lang w:eastAsia="fr-FR"/>
        </w:rPr>
        <w:t xml:space="preserve">Cette </w:t>
      </w:r>
      <w:r w:rsidR="004468D2">
        <w:rPr>
          <w:rFonts w:ascii="Arial" w:eastAsia="Times New Roman" w:hAnsi="Arial" w:cs="Arial"/>
          <w:lang w:eastAsia="fr-FR"/>
        </w:rPr>
        <w:t>concentration n’est</w:t>
      </w:r>
      <w:r w:rsidR="00D77C9E">
        <w:rPr>
          <w:rFonts w:ascii="Arial" w:eastAsia="Times New Roman" w:hAnsi="Arial" w:cs="Arial"/>
          <w:lang w:eastAsia="fr-FR"/>
        </w:rPr>
        <w:t xml:space="preserve"> pas détectable par les instruments de mesure standard comme ceux utilisés par les forces de l’ordre</w:t>
      </w:r>
      <w:r w:rsidR="004468D2">
        <w:rPr>
          <w:rFonts w:ascii="Arial" w:eastAsia="Times New Roman" w:hAnsi="Arial" w:cs="Arial"/>
          <w:lang w:eastAsia="fr-FR"/>
        </w:rPr>
        <w:t> : Taux minimal de détection : 0.2 g/L</w:t>
      </w:r>
      <w:r w:rsidR="00D77C9E">
        <w:rPr>
          <w:rFonts w:ascii="Arial" w:eastAsia="Times New Roman" w:hAnsi="Arial" w:cs="Arial"/>
          <w:lang w:eastAsia="fr-FR"/>
        </w:rPr>
        <w:t xml:space="preserve"> </w:t>
      </w:r>
      <w:r w:rsidR="004468D2">
        <w:rPr>
          <w:rFonts w:ascii="Arial" w:eastAsia="Times New Roman" w:hAnsi="Arial" w:cs="Arial"/>
          <w:lang w:eastAsia="fr-FR"/>
        </w:rPr>
        <w:t>de sang.</w:t>
      </w:r>
      <w:r w:rsidR="00C81C42">
        <w:rPr>
          <w:rFonts w:ascii="Arial" w:eastAsia="Times New Roman" w:hAnsi="Arial" w:cs="Arial"/>
          <w:lang w:eastAsia="fr-FR"/>
        </w:rPr>
        <w:t xml:space="preserve"> Possible action néanmoins sur la CDT ? </w:t>
      </w:r>
    </w:p>
    <w:p w14:paraId="0AEA6D82" w14:textId="77777777" w:rsidR="003E1299" w:rsidRDefault="003E1299" w:rsidP="00F77E44">
      <w:pPr>
        <w:spacing w:before="100" w:beforeAutospacing="1" w:after="100" w:afterAutospacing="1" w:line="240" w:lineRule="auto"/>
        <w:ind w:left="360"/>
        <w:rPr>
          <w:rFonts w:ascii="Arial" w:eastAsia="Times New Roman" w:hAnsi="Arial" w:cs="Arial"/>
          <w:lang w:eastAsia="fr-FR"/>
        </w:rPr>
      </w:pPr>
    </w:p>
    <w:p w14:paraId="2257C5ED" w14:textId="4334D343" w:rsidR="00F77E44" w:rsidRPr="003E1299" w:rsidRDefault="004468D2" w:rsidP="004468D2">
      <w:pPr>
        <w:pStyle w:val="Paragraphedeliste"/>
        <w:numPr>
          <w:ilvl w:val="0"/>
          <w:numId w:val="21"/>
        </w:numPr>
        <w:spacing w:before="100" w:beforeAutospacing="1" w:after="100" w:afterAutospacing="1" w:line="240" w:lineRule="auto"/>
        <w:rPr>
          <w:rFonts w:ascii="Arial" w:eastAsia="Times New Roman" w:hAnsi="Arial" w:cs="Arial"/>
          <w:b/>
          <w:bCs/>
          <w:lang w:eastAsia="fr-FR"/>
        </w:rPr>
      </w:pPr>
      <w:r w:rsidRPr="003E1299">
        <w:rPr>
          <w:rFonts w:ascii="Arial" w:eastAsia="Times New Roman" w:hAnsi="Arial" w:cs="Arial"/>
          <w:b/>
          <w:bCs/>
          <w:lang w:eastAsia="fr-FR"/>
        </w:rPr>
        <w:t>Le syndrome d’auto-brasserie</w:t>
      </w:r>
    </w:p>
    <w:p w14:paraId="0AEA44F6" w14:textId="6E23B49F" w:rsidR="004468D2" w:rsidRPr="004468D2" w:rsidRDefault="007E0BDC" w:rsidP="004468D2">
      <w:pPr>
        <w:spacing w:before="100" w:beforeAutospacing="1" w:after="100" w:afterAutospacing="1" w:line="240" w:lineRule="auto"/>
        <w:ind w:left="360"/>
        <w:rPr>
          <w:rFonts w:ascii="Arial" w:eastAsia="Times New Roman" w:hAnsi="Arial" w:cs="Arial"/>
          <w:lang w:eastAsia="fr-FR"/>
        </w:rPr>
      </w:pPr>
      <w:r>
        <w:rPr>
          <w:rFonts w:ascii="Arial" w:eastAsia="Times New Roman" w:hAnsi="Arial" w:cs="Arial"/>
          <w:lang w:eastAsia="fr-FR"/>
        </w:rPr>
        <w:t>Syndrome rare dans lequel l’ingestion de glucides entraine la production d’é</w:t>
      </w:r>
      <w:r w:rsidR="003E1299">
        <w:rPr>
          <w:rFonts w:ascii="Arial" w:eastAsia="Times New Roman" w:hAnsi="Arial" w:cs="Arial"/>
          <w:lang w:eastAsia="fr-FR"/>
        </w:rPr>
        <w:t>th</w:t>
      </w:r>
      <w:r>
        <w:rPr>
          <w:rFonts w:ascii="Arial" w:eastAsia="Times New Roman" w:hAnsi="Arial" w:cs="Arial"/>
          <w:lang w:eastAsia="fr-FR"/>
        </w:rPr>
        <w:t>anol par les levures présentes dans le tube digestif</w:t>
      </w:r>
      <w:r w:rsidR="00075CDB">
        <w:rPr>
          <w:rFonts w:ascii="Arial" w:eastAsia="Times New Roman" w:hAnsi="Arial" w:cs="Arial"/>
          <w:lang w:eastAsia="fr-FR"/>
        </w:rPr>
        <w:t>, notamment dans le colon.</w:t>
      </w:r>
      <w:r>
        <w:rPr>
          <w:rFonts w:ascii="Arial" w:eastAsia="Times New Roman" w:hAnsi="Arial" w:cs="Arial"/>
          <w:lang w:eastAsia="fr-FR"/>
        </w:rPr>
        <w:t xml:space="preserve"> Le taux d’éthanol peut alors s’élever à 4g/L et </w:t>
      </w:r>
      <w:r w:rsidR="003E1299">
        <w:rPr>
          <w:rFonts w:ascii="Arial" w:eastAsia="Times New Roman" w:hAnsi="Arial" w:cs="Arial"/>
          <w:lang w:eastAsia="fr-FR"/>
        </w:rPr>
        <w:t>peuvent</w:t>
      </w:r>
      <w:r>
        <w:rPr>
          <w:rFonts w:ascii="Arial" w:eastAsia="Times New Roman" w:hAnsi="Arial" w:cs="Arial"/>
          <w:lang w:eastAsia="fr-FR"/>
        </w:rPr>
        <w:t xml:space="preserve"> être responsables d’une symptomatologie similaire à l’intoxication aiguë à l’éthanol. Syndrome causé le plus souvent par une </w:t>
      </w:r>
      <w:r w:rsidR="003E1299">
        <w:rPr>
          <w:rFonts w:ascii="Arial" w:eastAsia="Times New Roman" w:hAnsi="Arial" w:cs="Arial"/>
          <w:lang w:eastAsia="fr-FR"/>
        </w:rPr>
        <w:t>pathologie</w:t>
      </w:r>
      <w:r>
        <w:rPr>
          <w:rFonts w:ascii="Arial" w:eastAsia="Times New Roman" w:hAnsi="Arial" w:cs="Arial"/>
          <w:lang w:eastAsia="fr-FR"/>
        </w:rPr>
        <w:t xml:space="preserve"> digestive ou </w:t>
      </w:r>
      <w:r w:rsidR="003E1299">
        <w:rPr>
          <w:rFonts w:ascii="Arial" w:eastAsia="Times New Roman" w:hAnsi="Arial" w:cs="Arial"/>
          <w:lang w:eastAsia="fr-FR"/>
        </w:rPr>
        <w:t xml:space="preserve">un </w:t>
      </w:r>
      <w:r>
        <w:rPr>
          <w:rFonts w:ascii="Arial" w:eastAsia="Times New Roman" w:hAnsi="Arial" w:cs="Arial"/>
          <w:lang w:eastAsia="fr-FR"/>
        </w:rPr>
        <w:t xml:space="preserve">déséquilibre de la </w:t>
      </w:r>
      <w:r w:rsidR="003E1299">
        <w:rPr>
          <w:rFonts w:ascii="Arial" w:eastAsia="Times New Roman" w:hAnsi="Arial" w:cs="Arial"/>
          <w:lang w:eastAsia="fr-FR"/>
        </w:rPr>
        <w:t>flore</w:t>
      </w:r>
      <w:r>
        <w:rPr>
          <w:rFonts w:ascii="Arial" w:eastAsia="Times New Roman" w:hAnsi="Arial" w:cs="Arial"/>
          <w:lang w:eastAsia="fr-FR"/>
        </w:rPr>
        <w:t xml:space="preserve"> intestinale</w:t>
      </w:r>
      <w:r w:rsidR="003E1299">
        <w:rPr>
          <w:rFonts w:ascii="Arial" w:eastAsia="Times New Roman" w:hAnsi="Arial" w:cs="Arial"/>
          <w:lang w:eastAsia="fr-FR"/>
        </w:rPr>
        <w:t>. Causses possibles : chirurgie abdominale, prolifération des germes de la famille Candida ou Saccharomycoses, pathologie métabolique, gastro-intestinale ou hépatique. Traitement reposant sur l’arrêt de l’antibiothérapie et un traitement antifongique visant à rétablir la flore intestinale et limiter la fermentation des sucres.</w:t>
      </w:r>
    </w:p>
    <w:p w14:paraId="496EEC4B" w14:textId="77777777" w:rsidR="008D33AB" w:rsidRPr="008D33AB" w:rsidRDefault="008D33AB" w:rsidP="008D33AB">
      <w:pPr>
        <w:spacing w:after="100" w:afterAutospacing="1" w:line="240" w:lineRule="auto"/>
        <w:jc w:val="both"/>
        <w:rPr>
          <w:rFonts w:ascii="Arial" w:eastAsia="Times New Roman" w:hAnsi="Arial" w:cs="Arial"/>
          <w:color w:val="000000"/>
          <w:lang w:eastAsia="fr-FR"/>
        </w:rPr>
      </w:pPr>
    </w:p>
    <w:p w14:paraId="5AFAFF88" w14:textId="77777777" w:rsidR="002B21A8" w:rsidRDefault="002B21A8"/>
    <w:p w14:paraId="63839DCA" w14:textId="77777777" w:rsidR="008D33AB" w:rsidRDefault="008D33AB"/>
    <w:p w14:paraId="6AC225A5" w14:textId="37B79C99" w:rsidR="00D02E36" w:rsidRPr="00D02E36" w:rsidRDefault="001E4DB2">
      <w:pPr>
        <w:rPr>
          <w:rFonts w:ascii="Arial" w:hAnsi="Arial" w:cs="Arial"/>
          <w:b/>
          <w:bCs/>
          <w:sz w:val="32"/>
          <w:szCs w:val="32"/>
        </w:rPr>
      </w:pPr>
      <w:r>
        <w:rPr>
          <w:rFonts w:ascii="Arial" w:hAnsi="Arial" w:cs="Arial"/>
          <w:b/>
          <w:bCs/>
          <w:sz w:val="32"/>
          <w:szCs w:val="32"/>
        </w:rPr>
        <w:t xml:space="preserve">   (2) </w:t>
      </w:r>
      <w:r w:rsidR="00D02E36" w:rsidRPr="00D02E36">
        <w:rPr>
          <w:rFonts w:ascii="Arial" w:hAnsi="Arial" w:cs="Arial"/>
          <w:b/>
          <w:bCs/>
          <w:sz w:val="32"/>
          <w:szCs w:val="32"/>
        </w:rPr>
        <w:t>La CDT</w:t>
      </w:r>
    </w:p>
    <w:p w14:paraId="02D9B78E" w14:textId="77777777" w:rsidR="00D5774D" w:rsidRDefault="00187DA0" w:rsidP="000C6CA6">
      <w:pPr>
        <w:spacing w:after="100" w:afterAutospacing="1" w:line="240" w:lineRule="auto"/>
        <w:jc w:val="both"/>
        <w:rPr>
          <w:rFonts w:ascii="Arial" w:hAnsi="Arial" w:cs="Arial"/>
        </w:rPr>
      </w:pPr>
      <w:r w:rsidRPr="00C5073C">
        <w:rPr>
          <w:rFonts w:ascii="Arial" w:hAnsi="Arial" w:cs="Arial"/>
          <w:b/>
          <w:bCs/>
        </w:rPr>
        <w:t>Définition</w:t>
      </w:r>
      <w:r w:rsidRPr="00C5073C">
        <w:rPr>
          <w:rFonts w:ascii="Arial" w:hAnsi="Arial" w:cs="Arial"/>
        </w:rPr>
        <w:t xml:space="preserve"> : </w:t>
      </w:r>
    </w:p>
    <w:p w14:paraId="132CBDCB" w14:textId="204645C3" w:rsidR="00F21DA2" w:rsidRDefault="00187DA0" w:rsidP="000C6CA6">
      <w:pPr>
        <w:spacing w:after="100" w:afterAutospacing="1" w:line="240" w:lineRule="auto"/>
        <w:jc w:val="both"/>
        <w:rPr>
          <w:rFonts w:ascii="Arial" w:hAnsi="Arial" w:cs="Arial"/>
          <w:color w:val="1F1F1F"/>
        </w:rPr>
      </w:pPr>
      <w:r w:rsidRPr="00C5073C">
        <w:rPr>
          <w:rFonts w:ascii="Arial" w:hAnsi="Arial" w:cs="Arial"/>
        </w:rPr>
        <w:t>CDT : « </w:t>
      </w:r>
      <w:r w:rsidR="00CC1B4C" w:rsidRPr="00C5073C">
        <w:rPr>
          <w:rFonts w:ascii="Arial" w:hAnsi="Arial" w:cs="Arial"/>
          <w:shd w:val="clear" w:color="auto" w:fill="FFFFFF"/>
        </w:rPr>
        <w:t>Carbohydrate-deficient transferin</w:t>
      </w:r>
      <w:r w:rsidRPr="00C5073C">
        <w:rPr>
          <w:rFonts w:ascii="Arial" w:hAnsi="Arial" w:cs="Arial"/>
          <w:shd w:val="clear" w:color="auto" w:fill="FFFFFF"/>
        </w:rPr>
        <w:t> »</w:t>
      </w:r>
      <w:r w:rsidR="00CC1B4C" w:rsidRPr="00C5073C">
        <w:rPr>
          <w:rFonts w:ascii="Arial" w:hAnsi="Arial" w:cs="Arial"/>
          <w:shd w:val="clear" w:color="auto" w:fill="FFFFFF"/>
        </w:rPr>
        <w:t xml:space="preserve"> ou « </w:t>
      </w:r>
      <w:r w:rsidR="00075CDB" w:rsidRPr="00C5073C">
        <w:rPr>
          <w:rFonts w:ascii="Arial" w:hAnsi="Arial" w:cs="Arial"/>
          <w:shd w:val="clear" w:color="auto" w:fill="FFFFFF"/>
        </w:rPr>
        <w:t>Transferrine</w:t>
      </w:r>
      <w:r w:rsidR="00CC1B4C" w:rsidRPr="00C5073C">
        <w:rPr>
          <w:rFonts w:ascii="Arial" w:hAnsi="Arial" w:cs="Arial"/>
          <w:shd w:val="clear" w:color="auto" w:fill="FFFFFF"/>
        </w:rPr>
        <w:t xml:space="preserve"> </w:t>
      </w:r>
      <w:r w:rsidR="00075CDB" w:rsidRPr="00C5073C">
        <w:rPr>
          <w:rFonts w:ascii="Arial" w:hAnsi="Arial" w:cs="Arial"/>
          <w:shd w:val="clear" w:color="auto" w:fill="FFFFFF"/>
        </w:rPr>
        <w:t>désialylée</w:t>
      </w:r>
      <w:r w:rsidR="00CC1B4C" w:rsidRPr="00C5073C">
        <w:rPr>
          <w:rFonts w:ascii="Arial" w:hAnsi="Arial" w:cs="Arial"/>
          <w:shd w:val="clear" w:color="auto" w:fill="FFFFFF"/>
        </w:rPr>
        <w:t> »</w:t>
      </w:r>
      <w:r w:rsidR="000C6CA6" w:rsidRPr="00C5073C">
        <w:rPr>
          <w:rFonts w:ascii="Arial" w:hAnsi="Arial" w:cs="Arial"/>
          <w:shd w:val="clear" w:color="auto" w:fill="FFFFFF"/>
        </w:rPr>
        <w:t xml:space="preserve">. </w:t>
      </w:r>
      <w:r w:rsidR="000C6CA6" w:rsidRPr="00C5073C">
        <w:rPr>
          <w:rFonts w:ascii="Arial" w:hAnsi="Arial" w:cs="Arial"/>
          <w:color w:val="1F1F1F"/>
        </w:rPr>
        <w:t>La transferrine désialylée est un marqueur spécifique et sensible de l’abus chronique de boissons alcooliques</w:t>
      </w:r>
      <w:r w:rsidR="00F66852" w:rsidRPr="00C5073C">
        <w:rPr>
          <w:rFonts w:ascii="Arial" w:hAnsi="Arial" w:cs="Arial"/>
          <w:color w:val="1F1F1F"/>
        </w:rPr>
        <w:t>.</w:t>
      </w:r>
      <w:r w:rsidR="009D331F">
        <w:rPr>
          <w:rFonts w:ascii="Arial" w:hAnsi="Arial" w:cs="Arial"/>
          <w:color w:val="1F1F1F"/>
        </w:rPr>
        <w:t xml:space="preserve"> La CDT est une des composantes de la transferrine. </w:t>
      </w:r>
    </w:p>
    <w:p w14:paraId="015690C7" w14:textId="77777777" w:rsidR="00D5774D" w:rsidRDefault="00D5774D" w:rsidP="000C6CA6">
      <w:pPr>
        <w:spacing w:after="100" w:afterAutospacing="1" w:line="240" w:lineRule="auto"/>
        <w:jc w:val="both"/>
        <w:rPr>
          <w:rFonts w:ascii="Arial" w:hAnsi="Arial" w:cs="Arial"/>
          <w:color w:val="1F1F1F"/>
        </w:rPr>
      </w:pPr>
    </w:p>
    <w:p w14:paraId="15F52545" w14:textId="77777777" w:rsidR="00D4008A" w:rsidRPr="00F21DA2" w:rsidRDefault="00D4008A" w:rsidP="00D4008A">
      <w:pPr>
        <w:rPr>
          <w:rFonts w:ascii="Arial" w:hAnsi="Arial" w:cs="Arial"/>
          <w:b/>
          <w:bCs/>
          <w:lang w:eastAsia="fr-FR"/>
        </w:rPr>
      </w:pPr>
      <w:r w:rsidRPr="00F21DA2">
        <w:rPr>
          <w:rFonts w:ascii="Arial" w:hAnsi="Arial" w:cs="Arial"/>
          <w:b/>
          <w:bCs/>
          <w:lang w:eastAsia="fr-FR"/>
        </w:rPr>
        <w:t>La transferrine</w:t>
      </w:r>
    </w:p>
    <w:p w14:paraId="05A41039" w14:textId="77777777" w:rsidR="009D331F" w:rsidRDefault="00D163B6" w:rsidP="00AA551B">
      <w:pPr>
        <w:rPr>
          <w:rFonts w:ascii="Arial" w:hAnsi="Arial" w:cs="Arial"/>
          <w:lang w:eastAsia="fr-FR"/>
        </w:rPr>
      </w:pPr>
      <w:r w:rsidRPr="00F21DA2">
        <w:rPr>
          <w:rFonts w:ascii="Arial" w:hAnsi="Arial" w:cs="Arial"/>
        </w:rPr>
        <w:t>La transferrine (ou sidérophiline) est une protéine produite par le foie, servant au transport du fer vers la moelle osseuse où le fer est incorporé dans l’hémoglobine des globules rouges. Le taux de transferrine dépend du statut nutritionnel de l’individu et du bon fonctionnement du foie</w:t>
      </w:r>
      <w:r w:rsidR="009D331F">
        <w:rPr>
          <w:rFonts w:ascii="Arial" w:hAnsi="Arial" w:cs="Arial"/>
        </w:rPr>
        <w:t xml:space="preserve">. </w:t>
      </w:r>
      <w:r w:rsidR="00D4008A" w:rsidRPr="00F21DA2">
        <w:rPr>
          <w:rFonts w:ascii="Arial" w:hAnsi="Arial" w:cs="Arial"/>
          <w:lang w:eastAsia="fr-FR"/>
        </w:rPr>
        <w:t>Cette molécule porte à l’extrémité de ses chaînes polypeptidiques pas moins de 4 résidus d’acide sialique. Chez l’homme, la transferrine existe sous différentes formes en fonction du nombre de résidus sialiques portés.</w:t>
      </w:r>
      <w:r w:rsidR="00D205B2" w:rsidRPr="00F21DA2">
        <w:rPr>
          <w:rFonts w:ascii="Arial" w:hAnsi="Arial" w:cs="Arial"/>
          <w:lang w:eastAsia="fr-FR"/>
        </w:rPr>
        <w:t xml:space="preserve"> </w:t>
      </w:r>
    </w:p>
    <w:p w14:paraId="04F6C09F" w14:textId="3D1AA037" w:rsidR="00D205B2" w:rsidRPr="009D331F" w:rsidRDefault="00D205B2" w:rsidP="00AA551B">
      <w:pPr>
        <w:rPr>
          <w:rFonts w:ascii="Arial" w:hAnsi="Arial" w:cs="Arial"/>
        </w:rPr>
      </w:pPr>
      <w:r w:rsidRPr="00F21DA2">
        <w:rPr>
          <w:rFonts w:ascii="Arial" w:hAnsi="Arial" w:cs="Arial"/>
          <w:lang w:eastAsia="fr-FR"/>
        </w:rPr>
        <w:t xml:space="preserve">Taux normal chez les </w:t>
      </w:r>
      <w:r w:rsidRPr="00F21DA2">
        <w:rPr>
          <w:rFonts w:ascii="Arial" w:eastAsia="Times New Roman" w:hAnsi="Arial" w:cs="Arial"/>
          <w:lang w:eastAsia="fr-FR"/>
        </w:rPr>
        <w:t>adultes : 2</w:t>
      </w:r>
      <w:r w:rsidR="00EE0B10">
        <w:rPr>
          <w:rFonts w:ascii="Arial" w:eastAsia="Times New Roman" w:hAnsi="Arial" w:cs="Arial"/>
          <w:lang w:eastAsia="fr-FR"/>
        </w:rPr>
        <w:t xml:space="preserve"> à </w:t>
      </w:r>
      <w:r w:rsidRPr="00F21DA2">
        <w:rPr>
          <w:rFonts w:ascii="Arial" w:eastAsia="Times New Roman" w:hAnsi="Arial" w:cs="Arial"/>
          <w:lang w:eastAsia="fr-FR"/>
        </w:rPr>
        <w:t>4 g/L</w:t>
      </w:r>
    </w:p>
    <w:p w14:paraId="78A37578" w14:textId="094844EB" w:rsidR="00D4008A" w:rsidRPr="00F21DA2" w:rsidRDefault="00D4008A" w:rsidP="00170C8A">
      <w:pPr>
        <w:rPr>
          <w:rFonts w:ascii="Arial" w:hAnsi="Arial" w:cs="Arial"/>
          <w:color w:val="5B5B5B"/>
          <w:lang w:eastAsia="fr-FR"/>
        </w:rPr>
      </w:pPr>
    </w:p>
    <w:p w14:paraId="29AD39FE" w14:textId="3F250AAC" w:rsidR="00C5073C" w:rsidRDefault="00D4008A" w:rsidP="00D4008A">
      <w:pPr>
        <w:rPr>
          <w:rFonts w:ascii="Arial" w:hAnsi="Arial" w:cs="Arial"/>
          <w:b/>
          <w:bCs/>
          <w:lang w:eastAsia="fr-FR"/>
        </w:rPr>
      </w:pPr>
      <w:r w:rsidRPr="00F21DA2">
        <w:rPr>
          <w:rFonts w:ascii="Arial" w:hAnsi="Arial" w:cs="Arial"/>
          <w:b/>
          <w:bCs/>
          <w:lang w:eastAsia="fr-FR"/>
        </w:rPr>
        <w:t>Formation de la CDT</w:t>
      </w:r>
    </w:p>
    <w:p w14:paraId="493E53F9" w14:textId="113D1447" w:rsidR="00F94E67" w:rsidRPr="00F94E67" w:rsidRDefault="00F94E67" w:rsidP="00D4008A">
      <w:pPr>
        <w:rPr>
          <w:rFonts w:ascii="Arial" w:hAnsi="Arial" w:cs="Arial"/>
          <w:u w:val="single"/>
          <w:lang w:eastAsia="fr-FR"/>
        </w:rPr>
      </w:pPr>
      <w:r w:rsidRPr="00F94E67">
        <w:rPr>
          <w:rFonts w:ascii="Arial" w:hAnsi="Arial" w:cs="Arial"/>
          <w:u w:val="single"/>
          <w:lang w:eastAsia="fr-FR"/>
        </w:rPr>
        <w:t xml:space="preserve">2 stades successifs : </w:t>
      </w:r>
    </w:p>
    <w:p w14:paraId="3FD3AAF1" w14:textId="387CACAE" w:rsidR="00D4008A" w:rsidRPr="00F94E67" w:rsidRDefault="00D4008A" w:rsidP="00F94E67">
      <w:pPr>
        <w:pStyle w:val="Paragraphedeliste"/>
        <w:numPr>
          <w:ilvl w:val="0"/>
          <w:numId w:val="12"/>
        </w:numPr>
        <w:rPr>
          <w:rFonts w:ascii="Arial" w:hAnsi="Arial" w:cs="Arial"/>
          <w:lang w:eastAsia="fr-FR"/>
        </w:rPr>
      </w:pPr>
      <w:r w:rsidRPr="00F94E67">
        <w:rPr>
          <w:rFonts w:ascii="Arial" w:hAnsi="Arial" w:cs="Arial"/>
          <w:lang w:eastAsia="fr-FR"/>
        </w:rPr>
        <w:t xml:space="preserve">Une consommation répétée d’alcool </w:t>
      </w:r>
      <w:r w:rsidR="00F94E67" w:rsidRPr="00F94E67">
        <w:rPr>
          <w:rFonts w:ascii="Arial" w:hAnsi="Arial" w:cs="Arial"/>
          <w:lang w:eastAsia="fr-FR"/>
        </w:rPr>
        <w:t xml:space="preserve">diminue </w:t>
      </w:r>
      <w:r w:rsidRPr="00F94E67">
        <w:rPr>
          <w:rFonts w:ascii="Arial" w:hAnsi="Arial" w:cs="Arial"/>
          <w:lang w:eastAsia="fr-FR"/>
        </w:rPr>
        <w:t>la sialylation de la transferrine, entraînant la formation de molécules de transferrine faiblement sialylée.</w:t>
      </w:r>
    </w:p>
    <w:p w14:paraId="3651BCC3" w14:textId="01BE9F4D" w:rsidR="00D4008A" w:rsidRPr="00F94E67" w:rsidRDefault="00D4008A" w:rsidP="00F94E67">
      <w:pPr>
        <w:pStyle w:val="Paragraphedeliste"/>
        <w:numPr>
          <w:ilvl w:val="0"/>
          <w:numId w:val="12"/>
        </w:numPr>
        <w:rPr>
          <w:rFonts w:ascii="Arial" w:hAnsi="Arial" w:cs="Arial"/>
          <w:lang w:eastAsia="fr-FR"/>
        </w:rPr>
      </w:pPr>
      <w:r w:rsidRPr="00F94E67">
        <w:rPr>
          <w:rFonts w:ascii="Arial" w:hAnsi="Arial" w:cs="Arial"/>
          <w:lang w:eastAsia="fr-FR"/>
        </w:rPr>
        <w:t xml:space="preserve">Au-delà d’une consommation de 50 grammes d’alcool quotidien, la </w:t>
      </w:r>
      <w:bookmarkStart w:id="0" w:name="_Hlk164935428"/>
      <w:r w:rsidRPr="00F94E67">
        <w:rPr>
          <w:rFonts w:ascii="Arial" w:hAnsi="Arial" w:cs="Arial"/>
          <w:lang w:eastAsia="fr-FR"/>
        </w:rPr>
        <w:t xml:space="preserve">sialylation </w:t>
      </w:r>
      <w:bookmarkEnd w:id="0"/>
      <w:r w:rsidRPr="00F94E67">
        <w:rPr>
          <w:rFonts w:ascii="Arial" w:hAnsi="Arial" w:cs="Arial"/>
          <w:lang w:eastAsia="fr-FR"/>
        </w:rPr>
        <w:t xml:space="preserve">est totalement inhibée, on ne trouve plus que des molécules de transferrine avec 1 seul groupe sialylé ou aucun : ce sont les molécules de </w:t>
      </w:r>
      <w:r w:rsidRPr="00F94E67">
        <w:rPr>
          <w:rFonts w:ascii="Arial" w:hAnsi="Arial" w:cs="Arial"/>
          <w:u w:val="single"/>
          <w:lang w:eastAsia="fr-FR"/>
        </w:rPr>
        <w:t>CDT</w:t>
      </w:r>
      <w:r w:rsidRPr="00F94E67">
        <w:rPr>
          <w:rFonts w:ascii="Arial" w:hAnsi="Arial" w:cs="Arial"/>
          <w:lang w:eastAsia="fr-FR"/>
        </w:rPr>
        <w:t xml:space="preserve"> ou </w:t>
      </w:r>
      <w:r w:rsidR="00F94E67" w:rsidRPr="00F94E67">
        <w:rPr>
          <w:rFonts w:ascii="Arial" w:hAnsi="Arial" w:cs="Arial"/>
          <w:lang w:eastAsia="fr-FR"/>
        </w:rPr>
        <w:t>« </w:t>
      </w:r>
      <w:r w:rsidRPr="00F94E67">
        <w:rPr>
          <w:rFonts w:ascii="Arial" w:hAnsi="Arial" w:cs="Arial"/>
          <w:u w:val="single"/>
          <w:lang w:eastAsia="fr-FR"/>
        </w:rPr>
        <w:t>transferrine déficiente en carbohydrate</w:t>
      </w:r>
      <w:r w:rsidR="00F94E67" w:rsidRPr="00F94E67">
        <w:rPr>
          <w:rFonts w:ascii="Arial" w:hAnsi="Arial" w:cs="Arial"/>
          <w:u w:val="single"/>
          <w:lang w:eastAsia="fr-FR"/>
        </w:rPr>
        <w:t> »</w:t>
      </w:r>
      <w:r w:rsidRPr="00F94E67">
        <w:rPr>
          <w:rFonts w:ascii="Arial" w:hAnsi="Arial" w:cs="Arial"/>
          <w:lang w:eastAsia="fr-FR"/>
        </w:rPr>
        <w:t>.</w:t>
      </w:r>
    </w:p>
    <w:p w14:paraId="78C35D2D" w14:textId="77777777" w:rsidR="00D4008A" w:rsidRDefault="00D4008A" w:rsidP="00D4008A">
      <w:pPr>
        <w:rPr>
          <w:rFonts w:ascii="Arial" w:hAnsi="Arial" w:cs="Arial"/>
          <w:lang w:eastAsia="fr-FR"/>
        </w:rPr>
      </w:pPr>
      <w:r w:rsidRPr="00F21DA2">
        <w:rPr>
          <w:rFonts w:ascii="Arial" w:hAnsi="Arial" w:cs="Arial"/>
          <w:lang w:eastAsia="fr-FR"/>
        </w:rPr>
        <w:t>Ces nouvelles formes de transferrine ont une demi-vie de 2 semaines, c’est-à-dire que la moitié d’entre elles auront disparu au bout de 2 semaines.</w:t>
      </w:r>
    </w:p>
    <w:p w14:paraId="2F6DB56A" w14:textId="77777777" w:rsidR="00D02E36" w:rsidRDefault="00D02E36" w:rsidP="00D4008A">
      <w:pPr>
        <w:rPr>
          <w:rFonts w:ascii="Arial" w:hAnsi="Arial" w:cs="Arial"/>
          <w:lang w:eastAsia="fr-FR"/>
        </w:rPr>
      </w:pPr>
    </w:p>
    <w:p w14:paraId="78863683" w14:textId="7FA37B68" w:rsidR="00187DA0" w:rsidRPr="00CC1B4C" w:rsidRDefault="00187DA0"/>
    <w:p w14:paraId="6871B285" w14:textId="4C4BE8A2" w:rsidR="007E3292" w:rsidRPr="00F94E67" w:rsidRDefault="00F94E67">
      <w:pPr>
        <w:rPr>
          <w:rFonts w:ascii="Arial" w:hAnsi="Arial" w:cs="Arial"/>
          <w:b/>
          <w:bCs/>
          <w:sz w:val="24"/>
          <w:szCs w:val="24"/>
        </w:rPr>
      </w:pPr>
      <w:r w:rsidRPr="00F94E67">
        <w:rPr>
          <w:rFonts w:ascii="Arial" w:hAnsi="Arial" w:cs="Arial"/>
          <w:b/>
          <w:bCs/>
          <w:sz w:val="24"/>
          <w:szCs w:val="24"/>
        </w:rPr>
        <w:t>Indications du dosage de la CDT</w:t>
      </w:r>
    </w:p>
    <w:p w14:paraId="7BFC1E8B" w14:textId="7580570C" w:rsidR="007E3292" w:rsidRDefault="007E3292" w:rsidP="00D5774D">
      <w:pPr>
        <w:spacing w:after="100" w:afterAutospacing="1" w:line="240" w:lineRule="auto"/>
        <w:rPr>
          <w:rFonts w:ascii="Arial" w:eastAsia="Times New Roman" w:hAnsi="Arial" w:cs="Arial"/>
          <w:color w:val="000000"/>
          <w:lang w:eastAsia="fr-FR"/>
        </w:rPr>
      </w:pPr>
      <w:r w:rsidRPr="007E3292">
        <w:rPr>
          <w:rFonts w:ascii="Arial" w:eastAsia="Times New Roman" w:hAnsi="Arial" w:cs="Arial"/>
          <w:color w:val="000000"/>
          <w:lang w:eastAsia="fr-FR"/>
        </w:rPr>
        <w:t>La CDT constitue un des marqueurs biologiques d’aide au diagnostic de la consommation chronique modérée à élevée d’alcool (consommation excessive d’alcool</w:t>
      </w:r>
      <w:r w:rsidR="00482B04">
        <w:rPr>
          <w:rFonts w:ascii="Arial" w:eastAsia="Times New Roman" w:hAnsi="Arial" w:cs="Arial"/>
          <w:color w:val="000000"/>
          <w:lang w:eastAsia="fr-FR"/>
        </w:rPr>
        <w:t xml:space="preserve"> signifie</w:t>
      </w:r>
      <w:r w:rsidRPr="007E3292">
        <w:rPr>
          <w:rFonts w:ascii="Arial" w:eastAsia="Times New Roman" w:hAnsi="Arial" w:cs="Arial"/>
          <w:color w:val="000000"/>
          <w:lang w:eastAsia="fr-FR"/>
        </w:rPr>
        <w:t xml:space="preserve"> toute consommation supérieure à 50gr/ jours pendant 7 à 10 jours</w:t>
      </w:r>
      <w:r w:rsidR="00310E0B">
        <w:rPr>
          <w:rFonts w:ascii="Arial" w:eastAsia="Times New Roman" w:hAnsi="Arial" w:cs="Arial"/>
          <w:color w:val="000000"/>
          <w:lang w:eastAsia="fr-FR"/>
        </w:rPr>
        <w:t xml:space="preserve"> soit 4 verres standard de vin de 12 cl par jour pendant 7 à 10 jours</w:t>
      </w:r>
      <w:r w:rsidRPr="007E3292">
        <w:rPr>
          <w:rFonts w:ascii="Arial" w:eastAsia="Times New Roman" w:hAnsi="Arial" w:cs="Arial"/>
          <w:color w:val="000000"/>
          <w:lang w:eastAsia="fr-FR"/>
        </w:rPr>
        <w:t>)</w:t>
      </w:r>
      <w:r w:rsidR="00B848B3">
        <w:rPr>
          <w:rFonts w:ascii="Arial" w:eastAsia="Times New Roman" w:hAnsi="Arial" w:cs="Arial"/>
          <w:color w:val="000000"/>
          <w:lang w:eastAsia="fr-FR"/>
        </w:rPr>
        <w:t xml:space="preserve"> ou 0.75 l de vin, 1,5 litre de bière ou 20 cl de liqueur à 40°</w:t>
      </w:r>
      <w:r w:rsidR="00F94E67">
        <w:rPr>
          <w:rFonts w:ascii="Arial" w:eastAsia="Times New Roman" w:hAnsi="Arial" w:cs="Arial"/>
          <w:color w:val="000000"/>
          <w:lang w:eastAsia="fr-FR"/>
        </w:rPr>
        <w:t>.</w:t>
      </w:r>
    </w:p>
    <w:p w14:paraId="3017676E" w14:textId="77777777" w:rsidR="00D5774D" w:rsidRDefault="00D5774D" w:rsidP="00D5774D">
      <w:pPr>
        <w:spacing w:after="100" w:afterAutospacing="1" w:line="240" w:lineRule="auto"/>
        <w:rPr>
          <w:rFonts w:ascii="Arial" w:eastAsia="Times New Roman" w:hAnsi="Arial" w:cs="Arial"/>
          <w:color w:val="000000"/>
          <w:lang w:eastAsia="fr-FR"/>
        </w:rPr>
      </w:pPr>
    </w:p>
    <w:p w14:paraId="5BB41F67" w14:textId="2F08C929" w:rsidR="00B2303C" w:rsidRDefault="00325CB6" w:rsidP="007E3292">
      <w:pPr>
        <w:spacing w:after="100" w:afterAutospacing="1" w:line="240" w:lineRule="auto"/>
        <w:jc w:val="both"/>
        <w:rPr>
          <w:rFonts w:ascii="Arial" w:eastAsia="Times New Roman" w:hAnsi="Arial" w:cs="Arial"/>
          <w:color w:val="000000"/>
          <w:lang w:eastAsia="fr-FR"/>
        </w:rPr>
      </w:pPr>
      <w:r w:rsidRPr="00325CB6">
        <w:rPr>
          <w:rFonts w:ascii="Arial" w:eastAsia="Times New Roman" w:hAnsi="Arial" w:cs="Arial"/>
          <w:noProof/>
          <w:color w:val="000000"/>
          <w:lang w:eastAsia="fr-FR"/>
        </w:rPr>
        <w:lastRenderedPageBreak/>
        <w:drawing>
          <wp:inline distT="0" distB="0" distL="0" distR="0" wp14:anchorId="7F19EED3" wp14:editId="509BE64B">
            <wp:extent cx="5308151" cy="2400300"/>
            <wp:effectExtent l="0" t="0" r="6985" b="0"/>
            <wp:docPr id="2067628843"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28843" name="Image 1" descr="Une image contenant texte, capture d’écran, Police&#10;&#10;Description générée automatiquement"/>
                    <pic:cNvPicPr/>
                  </pic:nvPicPr>
                  <pic:blipFill>
                    <a:blip r:embed="rId8"/>
                    <a:stretch>
                      <a:fillRect/>
                    </a:stretch>
                  </pic:blipFill>
                  <pic:spPr>
                    <a:xfrm>
                      <a:off x="0" y="0"/>
                      <a:ext cx="5320013" cy="2405664"/>
                    </a:xfrm>
                    <a:prstGeom prst="rect">
                      <a:avLst/>
                    </a:prstGeom>
                  </pic:spPr>
                </pic:pic>
              </a:graphicData>
            </a:graphic>
          </wp:inline>
        </w:drawing>
      </w:r>
    </w:p>
    <w:p w14:paraId="0AF012AB" w14:textId="65799EE4" w:rsidR="00CC1B4C" w:rsidRDefault="00CC1B4C" w:rsidP="007E3292">
      <w:pPr>
        <w:spacing w:after="100" w:afterAutospacing="1"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Attention : les verres de vin sont le plus souvent de 12 à 15 cl, la bière supérieure est plus souvent de 5 à </w:t>
      </w:r>
      <w:r w:rsidR="00F21DA2">
        <w:rPr>
          <w:rFonts w:ascii="Arial" w:eastAsia="Times New Roman" w:hAnsi="Arial" w:cs="Arial"/>
          <w:color w:val="000000"/>
          <w:lang w:eastAsia="fr-FR"/>
        </w:rPr>
        <w:t>8</w:t>
      </w:r>
      <w:r>
        <w:rPr>
          <w:rFonts w:ascii="Arial" w:eastAsia="Times New Roman" w:hAnsi="Arial" w:cs="Arial"/>
          <w:color w:val="000000"/>
          <w:lang w:eastAsia="fr-FR"/>
        </w:rPr>
        <w:t>°, les alcools blancs vont de 40 à 45°, donc une augmentation de l’ingestion d’alcool par rapport au tableau ci-dessus</w:t>
      </w:r>
      <w:r w:rsidR="00EB1C3C">
        <w:rPr>
          <w:rFonts w:ascii="Arial" w:eastAsia="Times New Roman" w:hAnsi="Arial" w:cs="Arial"/>
          <w:color w:val="000000"/>
          <w:lang w:eastAsia="fr-FR"/>
        </w:rPr>
        <w:t>.</w:t>
      </w:r>
    </w:p>
    <w:p w14:paraId="193978CB" w14:textId="69AF92AF" w:rsidR="0050690E" w:rsidRDefault="000A1AC4" w:rsidP="007E3292">
      <w:pPr>
        <w:spacing w:after="100" w:afterAutospacing="1" w:line="240" w:lineRule="auto"/>
        <w:jc w:val="both"/>
        <w:rPr>
          <w:rFonts w:ascii="Arial" w:hAnsi="Arial" w:cs="Arial"/>
        </w:rPr>
      </w:pPr>
      <w:r>
        <w:rPr>
          <w:rFonts w:ascii="Arial" w:hAnsi="Arial" w:cs="Arial"/>
          <w:u w:val="single"/>
        </w:rPr>
        <w:t xml:space="preserve">Bière et alcool : </w:t>
      </w:r>
      <w:r w:rsidRPr="000A1AC4">
        <w:rPr>
          <w:rFonts w:ascii="Arial" w:hAnsi="Arial" w:cs="Arial"/>
        </w:rPr>
        <w:t xml:space="preserve">Différents taux d’alcool selon la bière </w:t>
      </w:r>
      <w:r w:rsidR="00870824" w:rsidRPr="000A1AC4">
        <w:rPr>
          <w:rFonts w:ascii="Arial" w:hAnsi="Arial" w:cs="Arial"/>
        </w:rPr>
        <w:t>consommée :</w:t>
      </w:r>
      <w:r>
        <w:rPr>
          <w:rFonts w:ascii="Arial" w:hAnsi="Arial" w:cs="Arial"/>
          <w:u w:val="single"/>
        </w:rPr>
        <w:t xml:space="preserve"> </w:t>
      </w:r>
      <w:r>
        <w:rPr>
          <w:rFonts w:ascii="Arial" w:hAnsi="Arial" w:cs="Arial"/>
        </w:rPr>
        <w:t xml:space="preserve">les </w:t>
      </w:r>
      <w:r w:rsidR="00EB1C3C" w:rsidRPr="009E36B7">
        <w:rPr>
          <w:rFonts w:ascii="Arial" w:hAnsi="Arial" w:cs="Arial"/>
        </w:rPr>
        <w:t>bières spéciales (plus de 5°), la bière de luxe (plus de 4,4°), la bière bock (de 3,3° à 3,9°), la bière de table</w:t>
      </w:r>
      <w:r>
        <w:rPr>
          <w:rFonts w:ascii="Arial" w:hAnsi="Arial" w:cs="Arial"/>
        </w:rPr>
        <w:t xml:space="preserve"> </w:t>
      </w:r>
      <w:r w:rsidR="00EB1C3C" w:rsidRPr="009E36B7">
        <w:rPr>
          <w:rFonts w:ascii="Arial" w:hAnsi="Arial" w:cs="Arial"/>
        </w:rPr>
        <w:t xml:space="preserve">(de 2 à 2,2°) ou la bière sans alcool (inférieure à 1,2°). </w:t>
      </w:r>
    </w:p>
    <w:p w14:paraId="5242E243" w14:textId="206C8371" w:rsidR="00EB1C3C" w:rsidRDefault="0080625B" w:rsidP="007E3292">
      <w:pPr>
        <w:spacing w:after="100" w:afterAutospacing="1" w:line="240" w:lineRule="auto"/>
        <w:jc w:val="both"/>
        <w:rPr>
          <w:rFonts w:ascii="Arial" w:hAnsi="Arial" w:cs="Arial"/>
        </w:rPr>
      </w:pPr>
      <w:r w:rsidRPr="00482B04">
        <w:rPr>
          <w:rFonts w:ascii="Arial" w:hAnsi="Arial" w:cs="Arial"/>
          <w:u w:val="single"/>
        </w:rPr>
        <w:t>La bière sans alcool</w:t>
      </w:r>
      <w:r w:rsidR="0050690E" w:rsidRPr="00482B04">
        <w:rPr>
          <w:rFonts w:ascii="Arial" w:hAnsi="Arial" w:cs="Arial"/>
          <w:u w:val="single"/>
        </w:rPr>
        <w:t> :</w:t>
      </w:r>
      <w:r w:rsidRPr="009E36B7">
        <w:rPr>
          <w:rFonts w:ascii="Arial" w:hAnsi="Arial" w:cs="Arial"/>
        </w:rPr>
        <w:t xml:space="preserve"> La loi française parle de la bière sans alcool comme étant une boisson avec un “titre alcoométrique acquis inférieur ou égal à 1,2% en volume, à la suite d’une désalcoolisation ou d</w:t>
      </w:r>
      <w:r w:rsidR="00407BCB" w:rsidRPr="009E36B7">
        <w:rPr>
          <w:rFonts w:ascii="Arial" w:hAnsi="Arial" w:cs="Arial"/>
        </w:rPr>
        <w:t xml:space="preserve">e la limitation de la durée </w:t>
      </w:r>
      <w:r w:rsidRPr="009E36B7">
        <w:rPr>
          <w:rFonts w:ascii="Arial" w:hAnsi="Arial" w:cs="Arial"/>
        </w:rPr>
        <w:t>de fermentation”.</w:t>
      </w:r>
      <w:r w:rsidR="00174B18">
        <w:rPr>
          <w:rFonts w:ascii="Arial" w:hAnsi="Arial" w:cs="Arial"/>
        </w:rPr>
        <w:t xml:space="preserve"> Taux </w:t>
      </w:r>
      <w:r w:rsidR="00870824">
        <w:rPr>
          <w:rFonts w:ascii="Arial" w:hAnsi="Arial" w:cs="Arial"/>
        </w:rPr>
        <w:t xml:space="preserve">maximal accepté </w:t>
      </w:r>
      <w:r w:rsidR="00174B18">
        <w:rPr>
          <w:rFonts w:ascii="Arial" w:hAnsi="Arial" w:cs="Arial"/>
        </w:rPr>
        <w:t xml:space="preserve">en Belgique et en Suisse : 0.5%. </w:t>
      </w:r>
      <w:r w:rsidRPr="009E36B7">
        <w:rPr>
          <w:rFonts w:ascii="Arial" w:hAnsi="Arial" w:cs="Arial"/>
        </w:rPr>
        <w:t xml:space="preserve"> Les bières sans alcool </w:t>
      </w:r>
      <w:r w:rsidR="00471D63">
        <w:rPr>
          <w:rFonts w:ascii="Arial" w:hAnsi="Arial" w:cs="Arial"/>
        </w:rPr>
        <w:t xml:space="preserve">titrent le plus souvent de 0.2 à </w:t>
      </w:r>
      <w:r w:rsidRPr="009E36B7">
        <w:rPr>
          <w:rFonts w:ascii="Arial" w:hAnsi="Arial" w:cs="Arial"/>
        </w:rPr>
        <w:t>0,4% d’alcool</w:t>
      </w:r>
      <w:r w:rsidRPr="0050690E">
        <w:rPr>
          <w:rFonts w:ascii="Arial" w:hAnsi="Arial" w:cs="Arial"/>
        </w:rPr>
        <w:t xml:space="preserve">. Cette quantité d’alcool n’est pas suffisante pour s’introduire dans votre système et pénétrer </w:t>
      </w:r>
      <w:r w:rsidR="0050690E">
        <w:rPr>
          <w:rFonts w:ascii="Arial" w:hAnsi="Arial" w:cs="Arial"/>
        </w:rPr>
        <w:t xml:space="preserve">dans le </w:t>
      </w:r>
      <w:r w:rsidRPr="0050690E">
        <w:rPr>
          <w:rFonts w:ascii="Arial" w:hAnsi="Arial" w:cs="Arial"/>
        </w:rPr>
        <w:t>sang, et donc ne peut pas avoir le moindre effet sur l’organisme.</w:t>
      </w:r>
    </w:p>
    <w:p w14:paraId="09907B88" w14:textId="77777777" w:rsidR="00C46BD7" w:rsidRDefault="00C46BD7" w:rsidP="007E3292">
      <w:pPr>
        <w:spacing w:after="100" w:afterAutospacing="1" w:line="240" w:lineRule="auto"/>
        <w:jc w:val="both"/>
        <w:rPr>
          <w:rFonts w:ascii="Arial" w:hAnsi="Arial" w:cs="Arial"/>
        </w:rPr>
      </w:pPr>
    </w:p>
    <w:p w14:paraId="4FAA1AF3" w14:textId="77777777" w:rsidR="00C46BD7" w:rsidRDefault="00C46BD7" w:rsidP="007E3292">
      <w:pPr>
        <w:spacing w:after="100" w:afterAutospacing="1" w:line="240" w:lineRule="auto"/>
        <w:jc w:val="both"/>
        <w:rPr>
          <w:rFonts w:ascii="Arial" w:eastAsia="Times New Roman" w:hAnsi="Arial" w:cs="Arial"/>
          <w:color w:val="000000"/>
          <w:lang w:eastAsia="fr-FR"/>
        </w:rPr>
      </w:pPr>
    </w:p>
    <w:p w14:paraId="654DC009" w14:textId="77777777" w:rsidR="00075CDB" w:rsidRDefault="00075CDB" w:rsidP="007E3292">
      <w:pPr>
        <w:spacing w:after="100" w:afterAutospacing="1" w:line="240" w:lineRule="auto"/>
        <w:jc w:val="both"/>
        <w:rPr>
          <w:rFonts w:ascii="Arial" w:eastAsia="Times New Roman" w:hAnsi="Arial" w:cs="Arial"/>
          <w:color w:val="000000"/>
          <w:lang w:eastAsia="fr-FR"/>
        </w:rPr>
      </w:pPr>
    </w:p>
    <w:p w14:paraId="3F09C324" w14:textId="77777777" w:rsidR="00075CDB" w:rsidRPr="0050690E" w:rsidRDefault="00075CDB" w:rsidP="007E3292">
      <w:pPr>
        <w:spacing w:after="100" w:afterAutospacing="1" w:line="240" w:lineRule="auto"/>
        <w:jc w:val="both"/>
        <w:rPr>
          <w:rFonts w:ascii="Arial" w:eastAsia="Times New Roman" w:hAnsi="Arial" w:cs="Arial"/>
          <w:color w:val="000000"/>
          <w:lang w:eastAsia="fr-FR"/>
        </w:rPr>
      </w:pPr>
    </w:p>
    <w:p w14:paraId="2A0256A9" w14:textId="6DDAB513" w:rsidR="006A1DEE" w:rsidRDefault="00C46BD7" w:rsidP="007E3292">
      <w:pPr>
        <w:spacing w:after="100" w:afterAutospacing="1" w:line="24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 xml:space="preserve">Dosage des CDT : </w:t>
      </w:r>
      <w:r w:rsidR="00140785" w:rsidRPr="006A1DEE">
        <w:rPr>
          <w:rFonts w:ascii="Arial" w:eastAsia="Times New Roman" w:hAnsi="Arial" w:cs="Arial"/>
          <w:b/>
          <w:bCs/>
          <w:color w:val="000000"/>
          <w:lang w:eastAsia="fr-FR"/>
        </w:rPr>
        <w:t>Technique</w:t>
      </w:r>
      <w:r w:rsidR="006A1DEE" w:rsidRPr="006A1DEE">
        <w:rPr>
          <w:rFonts w:ascii="Arial" w:eastAsia="Times New Roman" w:hAnsi="Arial" w:cs="Arial"/>
          <w:b/>
          <w:bCs/>
          <w:color w:val="000000"/>
          <w:lang w:eastAsia="fr-FR"/>
        </w:rPr>
        <w:t>s</w:t>
      </w:r>
      <w:r w:rsidR="00187DA0" w:rsidRPr="006A1DEE">
        <w:rPr>
          <w:rFonts w:ascii="Arial" w:eastAsia="Times New Roman" w:hAnsi="Arial" w:cs="Arial"/>
          <w:b/>
          <w:bCs/>
          <w:color w:val="000000"/>
          <w:lang w:eastAsia="fr-FR"/>
        </w:rPr>
        <w:t xml:space="preserve"> de laboratoire :</w:t>
      </w:r>
    </w:p>
    <w:p w14:paraId="7168E66D" w14:textId="6AE99A42" w:rsidR="006A1DEE" w:rsidRDefault="006A1DEE" w:rsidP="007019FF">
      <w:pPr>
        <w:spacing w:after="100" w:afterAutospacing="1" w:line="240" w:lineRule="auto"/>
        <w:rPr>
          <w:rFonts w:ascii="Arial" w:hAnsi="Arial" w:cs="Arial"/>
          <w:color w:val="1F1F1F"/>
        </w:rPr>
      </w:pPr>
      <w:r w:rsidRPr="007E3292">
        <w:rPr>
          <w:rFonts w:ascii="Arial" w:eastAsia="Times New Roman" w:hAnsi="Arial" w:cs="Arial"/>
          <w:color w:val="000000"/>
          <w:lang w:eastAsia="fr-FR"/>
        </w:rPr>
        <w:t>C’est la forme d</w:t>
      </w:r>
      <w:r w:rsidR="003653DB">
        <w:rPr>
          <w:rFonts w:ascii="Arial" w:eastAsia="Times New Roman" w:hAnsi="Arial" w:cs="Arial"/>
          <w:color w:val="000000"/>
          <w:lang w:eastAsia="fr-FR"/>
        </w:rPr>
        <w:t>é</w:t>
      </w:r>
      <w:r w:rsidRPr="007E3292">
        <w:rPr>
          <w:rFonts w:ascii="Arial" w:eastAsia="Times New Roman" w:hAnsi="Arial" w:cs="Arial"/>
          <w:color w:val="000000"/>
          <w:lang w:eastAsia="fr-FR"/>
        </w:rPr>
        <w:t xml:space="preserve">sialylée </w:t>
      </w:r>
      <w:r>
        <w:rPr>
          <w:rFonts w:ascii="Arial" w:eastAsia="Times New Roman" w:hAnsi="Arial" w:cs="Arial"/>
          <w:color w:val="000000"/>
          <w:lang w:eastAsia="fr-FR"/>
        </w:rPr>
        <w:t xml:space="preserve">(CDT) </w:t>
      </w:r>
      <w:r w:rsidRPr="007E3292">
        <w:rPr>
          <w:rFonts w:ascii="Arial" w:eastAsia="Times New Roman" w:hAnsi="Arial" w:cs="Arial"/>
          <w:color w:val="000000"/>
          <w:lang w:eastAsia="fr-FR"/>
        </w:rPr>
        <w:t xml:space="preserve">qui </w:t>
      </w:r>
      <w:r>
        <w:rPr>
          <w:rFonts w:ascii="Arial" w:eastAsia="Times New Roman" w:hAnsi="Arial" w:cs="Arial"/>
          <w:color w:val="000000"/>
          <w:lang w:eastAsia="fr-FR"/>
        </w:rPr>
        <w:t xml:space="preserve">est </w:t>
      </w:r>
      <w:r w:rsidRPr="007E3292">
        <w:rPr>
          <w:rFonts w:ascii="Arial" w:eastAsia="Times New Roman" w:hAnsi="Arial" w:cs="Arial"/>
          <w:color w:val="000000"/>
          <w:lang w:eastAsia="fr-FR"/>
        </w:rPr>
        <w:t>quantifiée</w:t>
      </w:r>
      <w:r>
        <w:rPr>
          <w:rFonts w:ascii="Arial" w:eastAsia="Times New Roman" w:hAnsi="Arial" w:cs="Arial"/>
          <w:color w:val="000000"/>
          <w:lang w:eastAsia="fr-FR"/>
        </w:rPr>
        <w:t xml:space="preserve"> en pourcentage de la transferrine totale</w:t>
      </w:r>
      <w:r w:rsidR="007019FF">
        <w:rPr>
          <w:rFonts w:ascii="Arial" w:eastAsia="Times New Roman" w:hAnsi="Arial" w:cs="Arial"/>
          <w:color w:val="000000"/>
          <w:lang w:eastAsia="fr-FR"/>
        </w:rPr>
        <w:t xml:space="preserve"> (CDT/Transferrine totale). L</w:t>
      </w:r>
      <w:r w:rsidRPr="007E3292">
        <w:rPr>
          <w:rFonts w:ascii="Arial" w:eastAsia="Times New Roman" w:hAnsi="Arial" w:cs="Arial"/>
          <w:color w:val="000000"/>
          <w:lang w:eastAsia="fr-FR"/>
        </w:rPr>
        <w:t xml:space="preserve">a consommation excessive d’alcool de manière chronique entraîne une </w:t>
      </w:r>
      <w:r>
        <w:rPr>
          <w:rFonts w:ascii="Arial" w:eastAsia="Times New Roman" w:hAnsi="Arial" w:cs="Arial"/>
          <w:color w:val="000000"/>
          <w:lang w:eastAsia="fr-FR"/>
        </w:rPr>
        <w:t xml:space="preserve">inhibition de la </w:t>
      </w:r>
      <w:r w:rsidRPr="007E3292">
        <w:rPr>
          <w:rFonts w:ascii="Arial" w:eastAsia="Times New Roman" w:hAnsi="Arial" w:cs="Arial"/>
          <w:color w:val="000000"/>
          <w:lang w:eastAsia="fr-FR"/>
        </w:rPr>
        <w:t xml:space="preserve">sialylation </w:t>
      </w:r>
      <w:r>
        <w:rPr>
          <w:rFonts w:ascii="Arial" w:eastAsia="Times New Roman" w:hAnsi="Arial" w:cs="Arial"/>
          <w:color w:val="000000"/>
          <w:lang w:eastAsia="fr-FR"/>
        </w:rPr>
        <w:t>de la</w:t>
      </w:r>
      <w:r w:rsidR="007019FF">
        <w:rPr>
          <w:rFonts w:ascii="Arial" w:eastAsia="Times New Roman" w:hAnsi="Arial" w:cs="Arial"/>
          <w:color w:val="000000"/>
          <w:lang w:eastAsia="fr-FR"/>
        </w:rPr>
        <w:t xml:space="preserve"> </w:t>
      </w:r>
      <w:r>
        <w:rPr>
          <w:rFonts w:ascii="Arial" w:eastAsia="Times New Roman" w:hAnsi="Arial" w:cs="Arial"/>
          <w:color w:val="000000"/>
          <w:lang w:eastAsia="fr-FR"/>
        </w:rPr>
        <w:t xml:space="preserve">transferrine </w:t>
      </w:r>
      <w:r w:rsidRPr="007E3292">
        <w:rPr>
          <w:rFonts w:ascii="Arial" w:eastAsia="Times New Roman" w:hAnsi="Arial" w:cs="Arial"/>
          <w:color w:val="000000"/>
          <w:lang w:eastAsia="fr-FR"/>
        </w:rPr>
        <w:t>et augmentation du pourcentage de transferrine dé- ou hypo-sialylée.</w:t>
      </w:r>
      <w:r w:rsidRPr="0057079D">
        <w:rPr>
          <w:rFonts w:ascii="Arial" w:hAnsi="Arial" w:cs="Arial"/>
          <w:color w:val="1F1F1F"/>
        </w:rPr>
        <w:t xml:space="preserve"> La transferrine désialylée est un marqueur spécifique et sensible de l’abus chronique de boissons alcooliques</w:t>
      </w:r>
      <w:r>
        <w:rPr>
          <w:rFonts w:ascii="Arial" w:hAnsi="Arial" w:cs="Arial"/>
          <w:color w:val="1F1F1F"/>
        </w:rPr>
        <w:t>, à partir de 50 g d’alcool par jour pendant 7 jours. Un taux de zéro n’existe pas.</w:t>
      </w:r>
      <w:r w:rsidR="00C46BD7">
        <w:rPr>
          <w:rFonts w:ascii="Arial" w:hAnsi="Arial" w:cs="Arial"/>
          <w:color w:val="1F1F1F"/>
        </w:rPr>
        <w:t xml:space="preserve"> Pas de corrélation pourcentage CDT/consommation modérée d’alcool ! </w:t>
      </w:r>
    </w:p>
    <w:p w14:paraId="2203C0E8" w14:textId="77777777" w:rsidR="006A1DEE" w:rsidRPr="006A1DEE" w:rsidRDefault="006A1DEE" w:rsidP="007E3292">
      <w:pPr>
        <w:spacing w:after="100" w:afterAutospacing="1" w:line="240" w:lineRule="auto"/>
        <w:jc w:val="both"/>
        <w:rPr>
          <w:rFonts w:ascii="Arial" w:eastAsia="Times New Roman" w:hAnsi="Arial" w:cs="Arial"/>
          <w:b/>
          <w:bCs/>
          <w:color w:val="000000"/>
          <w:lang w:eastAsia="fr-FR"/>
        </w:rPr>
      </w:pPr>
    </w:p>
    <w:p w14:paraId="2B6090E8" w14:textId="28C40F07" w:rsidR="00187DA0" w:rsidRDefault="00140785" w:rsidP="007E3292">
      <w:pPr>
        <w:spacing w:after="100" w:afterAutospacing="1" w:line="240" w:lineRule="auto"/>
        <w:jc w:val="both"/>
        <w:rPr>
          <w:rFonts w:ascii="Arial" w:eastAsia="Times New Roman" w:hAnsi="Arial" w:cs="Arial"/>
          <w:color w:val="000000"/>
          <w:lang w:eastAsia="fr-FR"/>
        </w:rPr>
      </w:pPr>
      <w:bookmarkStart w:id="1" w:name="_Hlk163660821"/>
      <w:r>
        <w:rPr>
          <w:rFonts w:ascii="Arial" w:eastAsia="Times New Roman" w:hAnsi="Arial" w:cs="Arial"/>
          <w:color w:val="000000"/>
          <w:lang w:eastAsia="fr-FR"/>
        </w:rPr>
        <w:t xml:space="preserve"> </w:t>
      </w:r>
      <w:r w:rsidR="00C46BD7" w:rsidRPr="00A01ECF">
        <w:rPr>
          <w:rFonts w:ascii="Arial" w:eastAsia="Times New Roman" w:hAnsi="Arial" w:cs="Arial"/>
          <w:b/>
          <w:bCs/>
          <w:color w:val="000000"/>
          <w:lang w:eastAsia="fr-FR"/>
        </w:rPr>
        <w:t>Technique</w:t>
      </w:r>
      <w:r w:rsidR="00A01ECF" w:rsidRPr="00A01ECF">
        <w:rPr>
          <w:rFonts w:ascii="Arial" w:eastAsia="Times New Roman" w:hAnsi="Arial" w:cs="Arial"/>
          <w:b/>
          <w:bCs/>
          <w:color w:val="000000"/>
          <w:lang w:eastAsia="fr-FR"/>
        </w:rPr>
        <w:t xml:space="preserve"> la plus employée en 2024</w:t>
      </w:r>
      <w:r w:rsidR="00C46BD7">
        <w:rPr>
          <w:rFonts w:ascii="Arial" w:eastAsia="Times New Roman" w:hAnsi="Arial" w:cs="Arial"/>
          <w:color w:val="000000"/>
          <w:lang w:eastAsia="fr-FR"/>
        </w:rPr>
        <w:t xml:space="preserve"> : </w:t>
      </w:r>
      <w:r>
        <w:rPr>
          <w:rFonts w:ascii="Arial" w:eastAsia="Times New Roman" w:hAnsi="Arial" w:cs="Arial"/>
          <w:color w:val="000000"/>
          <w:lang w:eastAsia="fr-FR"/>
        </w:rPr>
        <w:t>Electrophèse capillaire</w:t>
      </w:r>
      <w:r w:rsidR="00A01ECF">
        <w:rPr>
          <w:rFonts w:ascii="Arial" w:eastAsia="Times New Roman" w:hAnsi="Arial" w:cs="Arial"/>
          <w:color w:val="000000"/>
          <w:lang w:eastAsia="fr-FR"/>
        </w:rPr>
        <w:t xml:space="preserve">. </w:t>
      </w:r>
      <w:r>
        <w:rPr>
          <w:rFonts w:ascii="Arial" w:eastAsia="Times New Roman" w:hAnsi="Arial" w:cs="Arial"/>
          <w:color w:val="000000"/>
          <w:lang w:eastAsia="fr-FR"/>
        </w:rPr>
        <w:t>Examen remboursé</w:t>
      </w:r>
      <w:r w:rsidR="0057079D">
        <w:rPr>
          <w:rFonts w:ascii="Arial" w:eastAsia="Times New Roman" w:hAnsi="Arial" w:cs="Arial"/>
          <w:color w:val="000000"/>
          <w:lang w:eastAsia="fr-FR"/>
        </w:rPr>
        <w:t xml:space="preserve"> sur prescription du médecin traitant </w:t>
      </w:r>
      <w:r>
        <w:rPr>
          <w:rFonts w:ascii="Arial" w:eastAsia="Times New Roman" w:hAnsi="Arial" w:cs="Arial"/>
          <w:color w:val="000000"/>
          <w:lang w:eastAsia="fr-FR"/>
        </w:rPr>
        <w:t>par l’Assurance maladie (codification : B55) mais non remboursé dans le cas d’examens prescrits en commission médicale préfectorale</w:t>
      </w:r>
      <w:r w:rsidR="00E66B3C">
        <w:rPr>
          <w:rFonts w:ascii="Arial" w:eastAsia="Times New Roman" w:hAnsi="Arial" w:cs="Arial"/>
          <w:color w:val="000000"/>
          <w:lang w:eastAsia="fr-FR"/>
        </w:rPr>
        <w:t>.</w:t>
      </w:r>
    </w:p>
    <w:bookmarkEnd w:id="1"/>
    <w:p w14:paraId="2BE64530" w14:textId="2DF9B6E5" w:rsidR="008B55B2" w:rsidRPr="00BC5533" w:rsidRDefault="007E3292" w:rsidP="007E3292">
      <w:pPr>
        <w:spacing w:after="100" w:afterAutospacing="1" w:line="240" w:lineRule="auto"/>
        <w:jc w:val="both"/>
        <w:rPr>
          <w:rFonts w:ascii="Arial" w:eastAsia="Times New Roman" w:hAnsi="Arial" w:cs="Arial"/>
          <w:color w:val="000000"/>
          <w:lang w:eastAsia="fr-FR"/>
        </w:rPr>
      </w:pPr>
      <w:r w:rsidRPr="00BC5533">
        <w:rPr>
          <w:rFonts w:ascii="Arial" w:eastAsia="Times New Roman" w:hAnsi="Arial" w:cs="Arial"/>
          <w:color w:val="000000"/>
          <w:lang w:eastAsia="fr-FR"/>
        </w:rPr>
        <w:lastRenderedPageBreak/>
        <w:t>La technique</w:t>
      </w:r>
      <w:r w:rsidR="00140785" w:rsidRPr="00BC5533">
        <w:rPr>
          <w:rFonts w:ascii="Arial" w:eastAsia="Times New Roman" w:hAnsi="Arial" w:cs="Arial"/>
          <w:color w:val="000000"/>
          <w:lang w:eastAsia="fr-FR"/>
        </w:rPr>
        <w:t xml:space="preserve"> </w:t>
      </w:r>
      <w:r w:rsidRPr="00BC5533">
        <w:rPr>
          <w:rFonts w:ascii="Arial" w:eastAsia="Times New Roman" w:hAnsi="Arial" w:cs="Arial"/>
          <w:color w:val="000000"/>
          <w:lang w:eastAsia="fr-FR"/>
        </w:rPr>
        <w:t>consiste en la séparation des 5 différentes isoformes de la transferrine du sérum humain par électrophorèse capillaire selon leur degré de sialylation : asialotransferrine (forme non sialylée), disialotransferrine</w:t>
      </w:r>
      <w:r w:rsidR="00BC5533" w:rsidRPr="00BC5533">
        <w:rPr>
          <w:rFonts w:ascii="Arial" w:eastAsia="Times New Roman" w:hAnsi="Arial" w:cs="Arial"/>
          <w:color w:val="000000"/>
          <w:lang w:eastAsia="fr-FR"/>
        </w:rPr>
        <w:t xml:space="preserve"> </w:t>
      </w:r>
      <w:r w:rsidR="00A01ECF" w:rsidRPr="00BC5533">
        <w:rPr>
          <w:rFonts w:ascii="Arial" w:hAnsi="Arial" w:cs="Arial"/>
          <w:color w:val="1F1F1F"/>
        </w:rPr>
        <w:t>au profit d’une élévation de la disialotransferrine (DST)</w:t>
      </w:r>
      <w:r w:rsidR="0080552F" w:rsidRPr="00BC5533">
        <w:rPr>
          <w:rFonts w:ascii="Arial" w:hAnsi="Arial" w:cs="Arial"/>
          <w:color w:val="1F1F1F"/>
        </w:rPr>
        <w:t xml:space="preserve"> +++</w:t>
      </w:r>
      <w:r w:rsidR="00A01ECF" w:rsidRPr="00BC5533">
        <w:rPr>
          <w:rFonts w:ascii="Arial" w:hAnsi="Arial" w:cs="Arial"/>
          <w:color w:val="1F1F1F"/>
        </w:rPr>
        <w:t xml:space="preserve"> qui représente la CDT</w:t>
      </w:r>
      <w:r w:rsidRPr="00BC5533">
        <w:rPr>
          <w:rFonts w:ascii="Arial" w:eastAsia="Times New Roman" w:hAnsi="Arial" w:cs="Arial"/>
          <w:color w:val="000000"/>
          <w:lang w:eastAsia="fr-FR"/>
        </w:rPr>
        <w:t xml:space="preserve">, trisialotransferrine, tétrasialotransferrine (prépondérante à 80% chez le sujet sain) et pentasialotransferrine. </w:t>
      </w:r>
    </w:p>
    <w:p w14:paraId="19C32C5D" w14:textId="77777777" w:rsidR="006A1DEE" w:rsidRDefault="006A1DEE" w:rsidP="007E3292">
      <w:pPr>
        <w:spacing w:after="100" w:afterAutospacing="1" w:line="240" w:lineRule="auto"/>
        <w:jc w:val="both"/>
        <w:rPr>
          <w:rFonts w:ascii="Arial" w:eastAsia="Times New Roman" w:hAnsi="Arial" w:cs="Arial"/>
          <w:color w:val="000000"/>
          <w:lang w:eastAsia="fr-FR"/>
        </w:rPr>
      </w:pPr>
    </w:p>
    <w:p w14:paraId="242A8790" w14:textId="4079D883" w:rsidR="007435D9" w:rsidRPr="0068338A" w:rsidRDefault="00C46BD7" w:rsidP="0068338A">
      <w:pPr>
        <w:spacing w:after="100" w:afterAutospacing="1" w:line="240" w:lineRule="auto"/>
        <w:jc w:val="both"/>
        <w:rPr>
          <w:rFonts w:ascii="Arial" w:hAnsi="Arial" w:cs="Arial"/>
          <w:b/>
          <w:bCs/>
          <w:color w:val="1F1F1F"/>
        </w:rPr>
      </w:pPr>
      <w:bookmarkStart w:id="2" w:name="_Hlk163649163"/>
      <w:r>
        <w:rPr>
          <w:rFonts w:ascii="Arial" w:hAnsi="Arial" w:cs="Arial"/>
          <w:b/>
          <w:bCs/>
          <w:color w:val="1F1F1F"/>
        </w:rPr>
        <w:t>Autres m</w:t>
      </w:r>
      <w:r w:rsidR="007435D9" w:rsidRPr="006A1DEE">
        <w:rPr>
          <w:rFonts w:ascii="Arial" w:hAnsi="Arial" w:cs="Arial"/>
          <w:b/>
          <w:bCs/>
          <w:color w:val="1F1F1F"/>
        </w:rPr>
        <w:t>éthodes de dosage :</w:t>
      </w:r>
    </w:p>
    <w:p w14:paraId="35CB5A92" w14:textId="0B0ECF4B" w:rsidR="007435D9" w:rsidRDefault="007435D9" w:rsidP="007435D9">
      <w:pPr>
        <w:pStyle w:val="Paragraphedeliste"/>
        <w:numPr>
          <w:ilvl w:val="0"/>
          <w:numId w:val="3"/>
        </w:numPr>
        <w:spacing w:after="100" w:afterAutospacing="1"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L’électrophorèse capillaire </w:t>
      </w:r>
      <w:r w:rsidR="00EA23F4">
        <w:rPr>
          <w:rFonts w:ascii="Arial" w:eastAsia="Times New Roman" w:hAnsi="Arial" w:cs="Arial"/>
          <w:color w:val="000000"/>
          <w:lang w:eastAsia="fr-FR"/>
        </w:rPr>
        <w:t>est la méthode la plus utilisée en 2024</w:t>
      </w:r>
    </w:p>
    <w:p w14:paraId="3526C173" w14:textId="77777777" w:rsidR="00D5774D" w:rsidRDefault="007435D9" w:rsidP="0068338A">
      <w:pPr>
        <w:pStyle w:val="Paragraphedeliste"/>
        <w:numPr>
          <w:ilvl w:val="0"/>
          <w:numId w:val="3"/>
        </w:numPr>
        <w:spacing w:after="100" w:afterAutospacing="1"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Autres méthodes moins courantes : </w:t>
      </w:r>
      <w:r w:rsidR="0068338A">
        <w:rPr>
          <w:rFonts w:ascii="Arial" w:eastAsia="Times New Roman" w:hAnsi="Arial" w:cs="Arial"/>
          <w:color w:val="000000"/>
          <w:lang w:eastAsia="fr-FR"/>
        </w:rPr>
        <w:t xml:space="preserve">La chromatographie liquide haute performance (CLHP), </w:t>
      </w:r>
      <w:r w:rsidRPr="0068338A">
        <w:rPr>
          <w:rFonts w:ascii="Arial" w:eastAsia="Times New Roman" w:hAnsi="Arial" w:cs="Arial"/>
          <w:color w:val="000000"/>
          <w:lang w:eastAsia="fr-FR"/>
        </w:rPr>
        <w:t xml:space="preserve">la focalisation isoélectrique, la chromatographie d’échanges d’ions sur colonne, </w:t>
      </w:r>
      <w:r w:rsidR="00AF51C8" w:rsidRPr="0068338A">
        <w:rPr>
          <w:rFonts w:ascii="Arial" w:eastAsia="Times New Roman" w:hAnsi="Arial" w:cs="Arial"/>
          <w:color w:val="000000"/>
          <w:lang w:eastAsia="fr-FR"/>
        </w:rPr>
        <w:t>anticorps monoclonaux spécifiques de la</w:t>
      </w:r>
    </w:p>
    <w:p w14:paraId="682CA7EE" w14:textId="5FEA28A9" w:rsidR="007435D9" w:rsidRDefault="00AF51C8" w:rsidP="0068338A">
      <w:pPr>
        <w:pStyle w:val="Paragraphedeliste"/>
        <w:numPr>
          <w:ilvl w:val="0"/>
          <w:numId w:val="3"/>
        </w:numPr>
        <w:spacing w:after="100" w:afterAutospacing="1" w:line="240" w:lineRule="auto"/>
        <w:jc w:val="both"/>
        <w:rPr>
          <w:rFonts w:ascii="Arial" w:eastAsia="Times New Roman" w:hAnsi="Arial" w:cs="Arial"/>
          <w:color w:val="000000"/>
          <w:lang w:eastAsia="fr-FR"/>
        </w:rPr>
      </w:pPr>
      <w:r w:rsidRPr="0068338A">
        <w:rPr>
          <w:rFonts w:ascii="Arial" w:eastAsia="Times New Roman" w:hAnsi="Arial" w:cs="Arial"/>
          <w:color w:val="000000"/>
          <w:lang w:eastAsia="fr-FR"/>
        </w:rPr>
        <w:t xml:space="preserve"> CDT humaine.</w:t>
      </w:r>
    </w:p>
    <w:p w14:paraId="29A23CFA" w14:textId="77777777" w:rsidR="00482B04" w:rsidRPr="00482B04" w:rsidRDefault="00482B04" w:rsidP="00482B04">
      <w:pPr>
        <w:spacing w:after="100" w:afterAutospacing="1" w:line="240" w:lineRule="auto"/>
        <w:jc w:val="both"/>
        <w:rPr>
          <w:rFonts w:ascii="Arial" w:eastAsia="Times New Roman" w:hAnsi="Arial" w:cs="Arial"/>
          <w:color w:val="000000"/>
          <w:lang w:eastAsia="fr-FR"/>
        </w:rPr>
      </w:pPr>
    </w:p>
    <w:p w14:paraId="7023CED5" w14:textId="0B2677DD" w:rsidR="009F31D2" w:rsidRPr="009F31D2" w:rsidRDefault="009F31D2" w:rsidP="00482B04">
      <w:pPr>
        <w:spacing w:after="100" w:afterAutospacing="1" w:line="240" w:lineRule="auto"/>
        <w:rPr>
          <w:rFonts w:ascii="Arial" w:eastAsia="Times New Roman" w:hAnsi="Arial" w:cs="Arial"/>
          <w:b/>
          <w:bCs/>
          <w:color w:val="000000"/>
          <w:lang w:eastAsia="fr-FR"/>
        </w:rPr>
      </w:pPr>
      <w:r w:rsidRPr="009F31D2">
        <w:rPr>
          <w:rFonts w:ascii="Arial" w:eastAsia="Times New Roman" w:hAnsi="Arial" w:cs="Arial"/>
          <w:b/>
          <w:bCs/>
          <w:color w:val="000000"/>
          <w:lang w:eastAsia="fr-FR"/>
        </w:rPr>
        <w:t xml:space="preserve">Spécificité et sensibilité </w:t>
      </w:r>
    </w:p>
    <w:p w14:paraId="00474FB9" w14:textId="4209FFD2" w:rsidR="00A46ECE" w:rsidRPr="00A46ECE" w:rsidRDefault="009F31D2" w:rsidP="00A46ECE">
      <w:pPr>
        <w:pStyle w:val="p1"/>
        <w:numPr>
          <w:ilvl w:val="0"/>
          <w:numId w:val="24"/>
        </w:numPr>
        <w:spacing w:before="0" w:beforeAutospacing="0" w:after="0" w:afterAutospacing="0"/>
      </w:pPr>
      <w:r w:rsidRPr="009F31D2">
        <w:rPr>
          <w:rFonts w:ascii="Arial" w:eastAsia="Times New Roman" w:hAnsi="Arial" w:cs="Arial"/>
        </w:rPr>
        <w:t>Le</w:t>
      </w:r>
      <w:r w:rsidRPr="00607BAC">
        <w:rPr>
          <w:rFonts w:ascii="Arial" w:eastAsia="Times New Roman" w:hAnsi="Arial" w:cs="Arial"/>
        </w:rPr>
        <w:t xml:space="preserve"> dosage de la CDT est </w:t>
      </w:r>
      <w:r w:rsidRPr="00A46ECE">
        <w:rPr>
          <w:rFonts w:ascii="Arial" w:eastAsia="Times New Roman" w:hAnsi="Arial" w:cs="Arial"/>
          <w:b/>
          <w:bCs/>
        </w:rPr>
        <w:t>spécifique</w:t>
      </w:r>
      <w:r w:rsidRPr="00607BAC">
        <w:rPr>
          <w:rFonts w:ascii="Arial" w:eastAsia="Times New Roman" w:hAnsi="Arial" w:cs="Arial"/>
        </w:rPr>
        <w:t xml:space="preserve"> à 97 % : 97 % des personnes ne consommant pas l’alcool de façon excessive et régulière ont un taux de CDT normal. Le taux de CDT se positive après une consommation quotidienne d’alcool de 50 à 80 grammes par jour</w:t>
      </w:r>
      <w:r w:rsidR="0096311C" w:rsidRPr="00A46ECE">
        <w:rPr>
          <w:rFonts w:ascii="Arial" w:eastAsia="Times New Roman" w:hAnsi="Arial" w:cs="Arial"/>
        </w:rPr>
        <w:t>.</w:t>
      </w:r>
      <w:r w:rsidR="00A46ECE" w:rsidRPr="00A46ECE">
        <w:rPr>
          <w:rStyle w:val="Titre2Car"/>
        </w:rPr>
        <w:t xml:space="preserve"> </w:t>
      </w:r>
      <w:r w:rsidR="00A46ECE" w:rsidRPr="00A46ECE">
        <w:rPr>
          <w:rStyle w:val="s2"/>
        </w:rPr>
        <w:t>Donc 3% des gens ayant un CDT normal ont une consommation élevée </w:t>
      </w:r>
    </w:p>
    <w:p w14:paraId="4F3C28E6" w14:textId="1D230C4F" w:rsidR="009F31D2" w:rsidRPr="00A46ECE" w:rsidRDefault="009F31D2" w:rsidP="00A46ECE">
      <w:pPr>
        <w:numPr>
          <w:ilvl w:val="0"/>
          <w:numId w:val="3"/>
        </w:numPr>
        <w:spacing w:before="100" w:beforeAutospacing="1" w:after="225" w:line="240" w:lineRule="auto"/>
        <w:jc w:val="both"/>
        <w:rPr>
          <w:rFonts w:ascii="Arial" w:eastAsia="Times New Roman" w:hAnsi="Arial" w:cs="Arial"/>
          <w:lang w:eastAsia="fr-FR"/>
        </w:rPr>
      </w:pPr>
      <w:r w:rsidRPr="00A46ECE">
        <w:rPr>
          <w:rFonts w:ascii="Arial" w:eastAsia="Times New Roman" w:hAnsi="Arial" w:cs="Arial"/>
        </w:rPr>
        <w:t>Le dosage de la CDT a une</w:t>
      </w:r>
      <w:r w:rsidRPr="00A46ECE">
        <w:rPr>
          <w:rFonts w:ascii="Arial" w:eastAsia="Times New Roman" w:hAnsi="Arial" w:cs="Arial"/>
          <w:b/>
          <w:bCs/>
        </w:rPr>
        <w:t xml:space="preserve"> sensibilité </w:t>
      </w:r>
      <w:r w:rsidRPr="00A46ECE">
        <w:rPr>
          <w:rFonts w:ascii="Arial" w:eastAsia="Times New Roman" w:hAnsi="Arial" w:cs="Arial"/>
        </w:rPr>
        <w:t>de 82 % : 82 % des personnes consommant de l’alcool de façon régulière et abusive ont un taux de CDT augmenté</w:t>
      </w:r>
      <w:r w:rsidR="00A46ECE" w:rsidRPr="00A46ECE">
        <w:rPr>
          <w:rFonts w:ascii="Arial" w:eastAsia="Times New Roman" w:hAnsi="Arial" w:cs="Arial"/>
        </w:rPr>
        <w:t>,</w:t>
      </w:r>
      <w:r w:rsidR="00A46ECE" w:rsidRPr="00A46ECE">
        <w:rPr>
          <w:rStyle w:val="s1"/>
          <w:rFonts w:ascii="Arial" w:hAnsi="Arial" w:cs="Arial"/>
        </w:rPr>
        <w:t> </w:t>
      </w:r>
      <w:r w:rsidR="00A46ECE" w:rsidRPr="00A46ECE">
        <w:rPr>
          <w:rStyle w:val="s3"/>
          <w:rFonts w:ascii="Arial" w:hAnsi="Arial" w:cs="Arial"/>
        </w:rPr>
        <w:t>donc 18 % des gens ayants un CDT élevé peuvent ne pas consommer. C’est là où le PETH va être pertinent pour corriger le faux positif. </w:t>
      </w:r>
    </w:p>
    <w:p w14:paraId="51F9CFE1" w14:textId="1B9AE480" w:rsidR="009F31D2" w:rsidRPr="00607BAC" w:rsidRDefault="009F31D2" w:rsidP="009F31D2">
      <w:pPr>
        <w:numPr>
          <w:ilvl w:val="0"/>
          <w:numId w:val="3"/>
        </w:numPr>
        <w:spacing w:before="100" w:beforeAutospacing="1" w:after="225" w:line="240" w:lineRule="auto"/>
        <w:jc w:val="both"/>
        <w:rPr>
          <w:rFonts w:ascii="Arial" w:eastAsia="Times New Roman" w:hAnsi="Arial" w:cs="Arial"/>
          <w:lang w:eastAsia="fr-FR"/>
        </w:rPr>
      </w:pPr>
      <w:r w:rsidRPr="009F31D2">
        <w:rPr>
          <w:rFonts w:ascii="Arial" w:eastAsia="Times New Roman" w:hAnsi="Arial" w:cs="Arial"/>
          <w:lang w:eastAsia="fr-FR"/>
        </w:rPr>
        <w:t>U</w:t>
      </w:r>
      <w:r w:rsidRPr="00607BAC">
        <w:rPr>
          <w:rFonts w:ascii="Arial" w:eastAsia="Times New Roman" w:hAnsi="Arial" w:cs="Arial"/>
          <w:lang w:eastAsia="fr-FR"/>
        </w:rPr>
        <w:t xml:space="preserve">ne consommation excessive mais ponctuelle d’alcool n’influence pas le taux de CDT </w:t>
      </w:r>
    </w:p>
    <w:p w14:paraId="77A8B9C9" w14:textId="565CEFA0" w:rsidR="009F31D2" w:rsidRPr="00607BAC" w:rsidRDefault="009F31D2" w:rsidP="009F31D2">
      <w:pPr>
        <w:numPr>
          <w:ilvl w:val="0"/>
          <w:numId w:val="3"/>
        </w:numPr>
        <w:spacing w:before="100" w:beforeAutospacing="1" w:after="225" w:line="240" w:lineRule="auto"/>
        <w:jc w:val="both"/>
        <w:rPr>
          <w:rFonts w:ascii="Arial" w:eastAsia="Times New Roman" w:hAnsi="Arial" w:cs="Arial"/>
          <w:lang w:eastAsia="fr-FR"/>
        </w:rPr>
      </w:pPr>
      <w:r w:rsidRPr="009F31D2">
        <w:rPr>
          <w:rFonts w:ascii="Arial" w:eastAsia="Times New Roman" w:hAnsi="Arial" w:cs="Arial"/>
          <w:lang w:eastAsia="fr-FR"/>
        </w:rPr>
        <w:t>U</w:t>
      </w:r>
      <w:r w:rsidRPr="00607BAC">
        <w:rPr>
          <w:rFonts w:ascii="Arial" w:eastAsia="Times New Roman" w:hAnsi="Arial" w:cs="Arial"/>
          <w:lang w:eastAsia="fr-FR"/>
        </w:rPr>
        <w:t>n taux de CDT élevé redevient normal après 2 à 4 semaines d’abstinence</w:t>
      </w:r>
    </w:p>
    <w:p w14:paraId="13DAF873" w14:textId="77777777" w:rsidR="00F94E67" w:rsidRPr="00F94E67" w:rsidRDefault="00F94E67" w:rsidP="00F94E67">
      <w:pPr>
        <w:pStyle w:val="Paragraphedeliste"/>
        <w:numPr>
          <w:ilvl w:val="0"/>
          <w:numId w:val="3"/>
        </w:numPr>
        <w:rPr>
          <w:rFonts w:ascii="Arial" w:hAnsi="Arial" w:cs="Arial"/>
          <w:lang w:eastAsia="fr-FR"/>
        </w:rPr>
      </w:pPr>
      <w:r w:rsidRPr="00F94E67">
        <w:rPr>
          <w:rFonts w:ascii="Arial" w:hAnsi="Arial" w:cs="Arial"/>
          <w:b/>
          <w:bCs/>
        </w:rPr>
        <w:t>Indication de la recherche</w:t>
      </w:r>
      <w:r w:rsidRPr="00F94E67">
        <w:rPr>
          <w:rFonts w:ascii="Arial" w:hAnsi="Arial" w:cs="Arial"/>
        </w:rPr>
        <w:t xml:space="preserve"> : </w:t>
      </w:r>
      <w:r w:rsidRPr="00F94E67">
        <w:rPr>
          <w:rFonts w:ascii="Arial" w:hAnsi="Arial" w:cs="Arial"/>
          <w:lang w:eastAsia="fr-FR"/>
        </w:rPr>
        <w:t>La consommation chronique et excessive d’alcool doit pouvoir être prouvée de façon scientifique sans qu’il n’y ait aucune ambiguïté possible. Les conducteurs ayant eu une suspension de permis pour avoir conduit sous l’emprise d’alcool devront effectuer ce dosage de CDT et obtenir un résultat satisfaisant pour que leur permis soit restitué après leur passage en commission médicale préfectorale</w:t>
      </w:r>
    </w:p>
    <w:p w14:paraId="26C81DAE" w14:textId="313C823C" w:rsidR="00AF51C8" w:rsidRPr="006A1DEE" w:rsidRDefault="00AF51C8" w:rsidP="00AF51C8">
      <w:pPr>
        <w:spacing w:after="100" w:afterAutospacing="1" w:line="240" w:lineRule="auto"/>
        <w:jc w:val="both"/>
        <w:rPr>
          <w:rFonts w:ascii="Arial" w:eastAsia="Times New Roman" w:hAnsi="Arial" w:cs="Arial"/>
          <w:b/>
          <w:bCs/>
          <w:color w:val="000000"/>
          <w:lang w:eastAsia="fr-FR"/>
        </w:rPr>
      </w:pPr>
      <w:r w:rsidRPr="006A1DEE">
        <w:rPr>
          <w:rFonts w:ascii="Arial" w:eastAsia="Times New Roman" w:hAnsi="Arial" w:cs="Arial"/>
          <w:b/>
          <w:bCs/>
          <w:color w:val="000000"/>
          <w:lang w:eastAsia="fr-FR"/>
        </w:rPr>
        <w:t>Mode d’expression des résultats et valeurs de référence</w:t>
      </w:r>
    </w:p>
    <w:p w14:paraId="011E38FB" w14:textId="77777777" w:rsidR="0068338A" w:rsidRDefault="00665074" w:rsidP="0068338A">
      <w:pPr>
        <w:pStyle w:val="Paragraphedeliste"/>
        <w:numPr>
          <w:ilvl w:val="0"/>
          <w:numId w:val="4"/>
        </w:numPr>
        <w:spacing w:after="100" w:afterAutospacing="1" w:line="240" w:lineRule="auto"/>
        <w:jc w:val="both"/>
        <w:rPr>
          <w:rFonts w:ascii="Arial" w:eastAsia="Times New Roman" w:hAnsi="Arial" w:cs="Arial"/>
          <w:color w:val="000000"/>
          <w:lang w:eastAsia="fr-FR"/>
        </w:rPr>
      </w:pPr>
      <w:r>
        <w:rPr>
          <w:rFonts w:ascii="Arial" w:eastAsia="Times New Roman" w:hAnsi="Arial" w:cs="Arial"/>
          <w:color w:val="000000"/>
          <w:lang w:eastAsia="fr-FR"/>
        </w:rPr>
        <w:t>CDT en valeur absolue </w:t>
      </w:r>
      <w:r w:rsidR="006A1DEE">
        <w:rPr>
          <w:rFonts w:ascii="Arial" w:eastAsia="Times New Roman" w:hAnsi="Arial" w:cs="Arial"/>
          <w:color w:val="000000"/>
          <w:lang w:eastAsia="fr-FR"/>
        </w:rPr>
        <w:t xml:space="preserve">normale </w:t>
      </w:r>
      <w:r>
        <w:rPr>
          <w:rFonts w:ascii="Arial" w:eastAsia="Times New Roman" w:hAnsi="Arial" w:cs="Arial"/>
          <w:color w:val="000000"/>
          <w:lang w:eastAsia="fr-FR"/>
        </w:rPr>
        <w:t xml:space="preserve">: </w:t>
      </w:r>
      <w:r w:rsidR="006A1DEE">
        <w:rPr>
          <w:rFonts w:ascii="Arial" w:eastAsia="Times New Roman" w:hAnsi="Arial" w:cs="Arial"/>
          <w:color w:val="000000"/>
          <w:lang w:eastAsia="fr-FR"/>
        </w:rPr>
        <w:t xml:space="preserve">de </w:t>
      </w:r>
      <w:r>
        <w:rPr>
          <w:rFonts w:ascii="Arial" w:eastAsia="Times New Roman" w:hAnsi="Arial" w:cs="Arial"/>
          <w:color w:val="000000"/>
          <w:lang w:eastAsia="fr-FR"/>
        </w:rPr>
        <w:t xml:space="preserve">9 à 100 mg/L </w:t>
      </w:r>
    </w:p>
    <w:p w14:paraId="3659CF33" w14:textId="50AF9037" w:rsidR="00482B04" w:rsidRPr="00482B04" w:rsidRDefault="00EA23F4" w:rsidP="00482B04">
      <w:pPr>
        <w:pStyle w:val="Paragraphedeliste"/>
        <w:numPr>
          <w:ilvl w:val="0"/>
          <w:numId w:val="4"/>
        </w:numPr>
        <w:spacing w:after="100" w:afterAutospacing="1" w:line="240" w:lineRule="auto"/>
        <w:jc w:val="both"/>
        <w:rPr>
          <w:rFonts w:ascii="Arial" w:eastAsia="Times New Roman" w:hAnsi="Arial" w:cs="Arial"/>
          <w:color w:val="000000"/>
          <w:lang w:eastAsia="fr-FR"/>
        </w:rPr>
      </w:pPr>
      <w:r w:rsidRPr="0068338A">
        <w:rPr>
          <w:rFonts w:ascii="Arial" w:eastAsia="Times New Roman" w:hAnsi="Arial" w:cs="Arial"/>
          <w:lang w:eastAsia="fr-FR"/>
        </w:rPr>
        <w:t>L’interprétation des résultats de CDT se fait après standardisation IFCC (International Federation of Clinical Chemistry and Laboratory Medicine) afin d’harmoniser le rendu de résultat entre les différentes techniques de dosage existantes</w:t>
      </w:r>
      <w:r w:rsidR="0068338A">
        <w:rPr>
          <w:rFonts w:ascii="Arial" w:eastAsia="Times New Roman" w:hAnsi="Arial" w:cs="Arial"/>
          <w:lang w:eastAsia="fr-FR"/>
        </w:rPr>
        <w:t>.</w:t>
      </w:r>
      <w:r w:rsidR="0017066D">
        <w:rPr>
          <w:rFonts w:ascii="Arial" w:eastAsia="Times New Roman" w:hAnsi="Arial" w:cs="Arial"/>
          <w:lang w:eastAsia="fr-FR"/>
        </w:rPr>
        <w:t xml:space="preserve"> T</w:t>
      </w:r>
      <w:r w:rsidRPr="0068338A">
        <w:rPr>
          <w:rFonts w:ascii="Arial" w:eastAsia="Times New Roman" w:hAnsi="Arial" w:cs="Arial"/>
          <w:lang w:eastAsia="fr-FR"/>
        </w:rPr>
        <w:t>echnique de standardisation</w:t>
      </w:r>
      <w:r w:rsidR="0017066D">
        <w:rPr>
          <w:rFonts w:ascii="Arial" w:eastAsia="Times New Roman" w:hAnsi="Arial" w:cs="Arial"/>
          <w:lang w:eastAsia="fr-FR"/>
        </w:rPr>
        <w:t xml:space="preserve"> </w:t>
      </w:r>
      <w:r w:rsidRPr="0068338A">
        <w:rPr>
          <w:rFonts w:ascii="Arial" w:eastAsia="Times New Roman" w:hAnsi="Arial" w:cs="Arial"/>
          <w:lang w:eastAsia="fr-FR"/>
        </w:rPr>
        <w:t>approuvée depuis 2017 et permet</w:t>
      </w:r>
      <w:r w:rsidR="0017066D">
        <w:rPr>
          <w:rFonts w:ascii="Arial" w:eastAsia="Times New Roman" w:hAnsi="Arial" w:cs="Arial"/>
          <w:lang w:eastAsia="fr-FR"/>
        </w:rPr>
        <w:t>tant</w:t>
      </w:r>
      <w:r w:rsidRPr="0068338A">
        <w:rPr>
          <w:rFonts w:ascii="Arial" w:eastAsia="Times New Roman" w:hAnsi="Arial" w:cs="Arial"/>
          <w:lang w:eastAsia="fr-FR"/>
        </w:rPr>
        <w:t xml:space="preserve"> d’obtenir des résultats comparables </w:t>
      </w:r>
      <w:r w:rsidR="00482B04">
        <w:rPr>
          <w:rFonts w:ascii="Arial" w:eastAsia="Times New Roman" w:hAnsi="Arial" w:cs="Arial"/>
          <w:lang w:eastAsia="fr-FR"/>
        </w:rPr>
        <w:t>quel que</w:t>
      </w:r>
      <w:r w:rsidR="0017066D">
        <w:rPr>
          <w:rFonts w:ascii="Arial" w:eastAsia="Times New Roman" w:hAnsi="Arial" w:cs="Arial"/>
          <w:lang w:eastAsia="fr-FR"/>
        </w:rPr>
        <w:t xml:space="preserve"> </w:t>
      </w:r>
      <w:r w:rsidR="00482B04">
        <w:rPr>
          <w:rFonts w:ascii="Arial" w:eastAsia="Times New Roman" w:hAnsi="Arial" w:cs="Arial"/>
          <w:lang w:eastAsia="fr-FR"/>
        </w:rPr>
        <w:t xml:space="preserve">soit </w:t>
      </w:r>
      <w:r w:rsidR="00482B04" w:rsidRPr="0068338A">
        <w:rPr>
          <w:rFonts w:ascii="Arial" w:eastAsia="Times New Roman" w:hAnsi="Arial" w:cs="Arial"/>
          <w:lang w:eastAsia="fr-FR"/>
        </w:rPr>
        <w:t>la</w:t>
      </w:r>
      <w:r w:rsidRPr="0068338A">
        <w:rPr>
          <w:rFonts w:ascii="Arial" w:eastAsia="Times New Roman" w:hAnsi="Arial" w:cs="Arial"/>
          <w:lang w:eastAsia="fr-FR"/>
        </w:rPr>
        <w:t xml:space="preserve"> technique de dosage employée</w:t>
      </w:r>
      <w:r w:rsidR="0017066D">
        <w:rPr>
          <w:rFonts w:ascii="Arial" w:eastAsia="Times New Roman" w:hAnsi="Arial" w:cs="Arial"/>
          <w:lang w:eastAsia="fr-FR"/>
        </w:rPr>
        <w:t xml:space="preserve"> : </w:t>
      </w:r>
    </w:p>
    <w:p w14:paraId="21B310D0" w14:textId="77777777" w:rsidR="00EA23F4" w:rsidRPr="00EA23F4" w:rsidRDefault="00EA23F4" w:rsidP="0017066D">
      <w:pPr>
        <w:numPr>
          <w:ilvl w:val="1"/>
          <w:numId w:val="4"/>
        </w:numPr>
        <w:spacing w:before="100" w:beforeAutospacing="1" w:after="100" w:afterAutospacing="1" w:line="240" w:lineRule="auto"/>
        <w:jc w:val="both"/>
        <w:rPr>
          <w:rFonts w:ascii="Arial" w:eastAsia="Times New Roman" w:hAnsi="Arial" w:cs="Arial"/>
          <w:lang w:eastAsia="fr-FR"/>
        </w:rPr>
      </w:pPr>
      <w:r w:rsidRPr="00EA23F4">
        <w:rPr>
          <w:rFonts w:ascii="Arial" w:eastAsia="Times New Roman" w:hAnsi="Arial" w:cs="Arial"/>
          <w:lang w:eastAsia="fr-FR"/>
        </w:rPr>
        <w:t xml:space="preserve">La limite supérieure de l’intervalle de référence IFCC est de 1,7 %. </w:t>
      </w:r>
    </w:p>
    <w:p w14:paraId="6D98C1B1" w14:textId="77777777" w:rsidR="00EA23F4" w:rsidRPr="00EA23F4" w:rsidRDefault="00EA23F4" w:rsidP="0017066D">
      <w:pPr>
        <w:numPr>
          <w:ilvl w:val="2"/>
          <w:numId w:val="4"/>
        </w:numPr>
        <w:spacing w:before="100" w:beforeAutospacing="1" w:after="100" w:afterAutospacing="1" w:line="240" w:lineRule="auto"/>
        <w:jc w:val="both"/>
        <w:rPr>
          <w:rFonts w:ascii="Arial" w:eastAsia="Times New Roman" w:hAnsi="Arial" w:cs="Arial"/>
          <w:lang w:eastAsia="fr-FR"/>
        </w:rPr>
      </w:pPr>
      <w:r w:rsidRPr="00EA23F4">
        <w:rPr>
          <w:rFonts w:ascii="Arial" w:eastAsia="Times New Roman" w:hAnsi="Arial" w:cs="Arial"/>
          <w:lang w:eastAsia="fr-FR"/>
        </w:rPr>
        <w:t xml:space="preserve">CDT-IFCC ≤ 1,7 % : résultat normal. </w:t>
      </w:r>
    </w:p>
    <w:p w14:paraId="184BA41B" w14:textId="77777777" w:rsidR="00EA23F4" w:rsidRPr="00EA23F4" w:rsidRDefault="00EA23F4" w:rsidP="0017066D">
      <w:pPr>
        <w:numPr>
          <w:ilvl w:val="1"/>
          <w:numId w:val="4"/>
        </w:numPr>
        <w:spacing w:before="100" w:beforeAutospacing="1" w:after="100" w:afterAutospacing="1" w:line="240" w:lineRule="auto"/>
        <w:jc w:val="both"/>
        <w:rPr>
          <w:rFonts w:ascii="Arial" w:eastAsia="Times New Roman" w:hAnsi="Arial" w:cs="Arial"/>
          <w:lang w:eastAsia="fr-FR"/>
        </w:rPr>
      </w:pPr>
      <w:r w:rsidRPr="00EA23F4">
        <w:rPr>
          <w:rFonts w:ascii="Arial" w:eastAsia="Times New Roman" w:hAnsi="Arial" w:cs="Arial"/>
          <w:lang w:eastAsia="fr-FR"/>
        </w:rPr>
        <w:t xml:space="preserve">La valeur du seuil décisionnel proposé est de 2,0 % pour des applications légales (valeur basée sur la limite supérieure des valeurs de référence augmentée de l'incertitude étendue de mesure). </w:t>
      </w:r>
    </w:p>
    <w:p w14:paraId="28E35C94" w14:textId="77777777" w:rsidR="00EA23F4" w:rsidRPr="00EA23F4" w:rsidRDefault="00EA23F4" w:rsidP="0017066D">
      <w:pPr>
        <w:numPr>
          <w:ilvl w:val="2"/>
          <w:numId w:val="4"/>
        </w:numPr>
        <w:spacing w:before="100" w:beforeAutospacing="1" w:after="100" w:afterAutospacing="1" w:line="240" w:lineRule="auto"/>
        <w:jc w:val="both"/>
        <w:rPr>
          <w:rFonts w:ascii="Arial" w:eastAsia="Times New Roman" w:hAnsi="Arial" w:cs="Arial"/>
          <w:lang w:eastAsia="fr-FR"/>
        </w:rPr>
      </w:pPr>
      <w:r w:rsidRPr="00EA23F4">
        <w:rPr>
          <w:rFonts w:ascii="Arial" w:eastAsia="Times New Roman" w:hAnsi="Arial" w:cs="Arial"/>
          <w:lang w:eastAsia="fr-FR"/>
        </w:rPr>
        <w:lastRenderedPageBreak/>
        <w:t xml:space="preserve">CDT-IFCC &gt; 2,0 % : les valeurs supérieures à 2 % sont en accord avec l’abus d’alcool ou la consommation excessive d’alcool. </w:t>
      </w:r>
    </w:p>
    <w:p w14:paraId="35635928" w14:textId="77777777" w:rsidR="00EA23F4" w:rsidRPr="00EA23F4" w:rsidRDefault="00EA23F4" w:rsidP="0017066D">
      <w:pPr>
        <w:numPr>
          <w:ilvl w:val="1"/>
          <w:numId w:val="4"/>
        </w:numPr>
        <w:spacing w:before="100" w:beforeAutospacing="1" w:after="100" w:afterAutospacing="1" w:line="240" w:lineRule="auto"/>
        <w:jc w:val="both"/>
        <w:rPr>
          <w:rFonts w:ascii="Arial" w:eastAsia="Times New Roman" w:hAnsi="Arial" w:cs="Arial"/>
          <w:lang w:eastAsia="fr-FR"/>
        </w:rPr>
      </w:pPr>
      <w:r w:rsidRPr="00EA23F4">
        <w:rPr>
          <w:rFonts w:ascii="Arial" w:eastAsia="Times New Roman" w:hAnsi="Arial" w:cs="Arial"/>
          <w:lang w:eastAsia="fr-FR"/>
        </w:rPr>
        <w:t>CDT-IFCC &gt; 1,7 % et ≤ 2,0 % : résultat non conclusif. Dans cet intervalle, les résultats ne permettent pas de conclure. Un contrôle à distance est souhaitable.</w:t>
      </w:r>
    </w:p>
    <w:p w14:paraId="7119D7CA" w14:textId="77777777" w:rsidR="00EA23F4" w:rsidRPr="00665074" w:rsidRDefault="00EA23F4" w:rsidP="0068338A">
      <w:pPr>
        <w:pStyle w:val="Paragraphedeliste"/>
        <w:spacing w:after="100" w:afterAutospacing="1" w:line="240" w:lineRule="auto"/>
        <w:jc w:val="both"/>
        <w:rPr>
          <w:rFonts w:ascii="Arial" w:eastAsia="Times New Roman" w:hAnsi="Arial" w:cs="Arial"/>
          <w:color w:val="000000"/>
          <w:lang w:eastAsia="fr-FR"/>
        </w:rPr>
      </w:pPr>
    </w:p>
    <w:bookmarkEnd w:id="2"/>
    <w:p w14:paraId="04A693D6" w14:textId="77777777" w:rsidR="00781DBB" w:rsidRDefault="00781DBB" w:rsidP="007E3292">
      <w:pPr>
        <w:spacing w:after="100" w:afterAutospacing="1" w:line="240" w:lineRule="auto"/>
        <w:jc w:val="both"/>
        <w:rPr>
          <w:rFonts w:ascii="Arial" w:eastAsia="Times New Roman" w:hAnsi="Arial" w:cs="Arial"/>
          <w:color w:val="000000"/>
          <w:lang w:eastAsia="fr-FR"/>
        </w:rPr>
      </w:pPr>
    </w:p>
    <w:p w14:paraId="56093406" w14:textId="6B401996" w:rsidR="001F6AC7" w:rsidRPr="007435D9" w:rsidRDefault="001F6AC7" w:rsidP="007E3292">
      <w:pPr>
        <w:spacing w:after="100" w:afterAutospacing="1" w:line="240" w:lineRule="auto"/>
        <w:jc w:val="both"/>
        <w:rPr>
          <w:rFonts w:ascii="Arial" w:eastAsia="Times New Roman" w:hAnsi="Arial" w:cs="Arial"/>
          <w:b/>
          <w:bCs/>
          <w:color w:val="000000"/>
          <w:lang w:eastAsia="fr-FR"/>
        </w:rPr>
      </w:pPr>
      <w:r w:rsidRPr="007435D9">
        <w:rPr>
          <w:rFonts w:ascii="Arial" w:eastAsia="Times New Roman" w:hAnsi="Arial" w:cs="Arial"/>
          <w:b/>
          <w:bCs/>
          <w:color w:val="000000"/>
          <w:lang w:eastAsia="fr-FR"/>
        </w:rPr>
        <w:t xml:space="preserve">Les marqueurs </w:t>
      </w:r>
      <w:r w:rsidR="007A603C">
        <w:rPr>
          <w:rFonts w:ascii="Arial" w:eastAsia="Times New Roman" w:hAnsi="Arial" w:cs="Arial"/>
          <w:b/>
          <w:bCs/>
          <w:color w:val="000000"/>
          <w:lang w:eastAsia="fr-FR"/>
        </w:rPr>
        <w:t xml:space="preserve">classiques </w:t>
      </w:r>
      <w:r w:rsidRPr="007435D9">
        <w:rPr>
          <w:rFonts w:ascii="Arial" w:eastAsia="Times New Roman" w:hAnsi="Arial" w:cs="Arial"/>
          <w:b/>
          <w:bCs/>
          <w:color w:val="000000"/>
          <w:lang w:eastAsia="fr-FR"/>
        </w:rPr>
        <w:t xml:space="preserve">d’une consommation excessive : </w:t>
      </w:r>
    </w:p>
    <w:p w14:paraId="3BA8A6CD" w14:textId="7E1C8037" w:rsidR="00607BAC" w:rsidRPr="0017066D" w:rsidRDefault="007E3292" w:rsidP="0017066D">
      <w:pPr>
        <w:spacing w:after="100" w:afterAutospacing="1" w:line="240" w:lineRule="auto"/>
        <w:jc w:val="both"/>
        <w:rPr>
          <w:rFonts w:ascii="Arial" w:eastAsia="Times New Roman" w:hAnsi="Arial" w:cs="Arial"/>
          <w:color w:val="000000"/>
          <w:lang w:eastAsia="fr-FR"/>
        </w:rPr>
      </w:pPr>
      <w:r w:rsidRPr="007E3292">
        <w:rPr>
          <w:rFonts w:ascii="Arial" w:eastAsia="Times New Roman" w:hAnsi="Arial" w:cs="Arial"/>
          <w:color w:val="000000"/>
          <w:lang w:eastAsia="fr-FR"/>
        </w:rPr>
        <w:t xml:space="preserve">La CDT a notamment comme avantage, par rapport aux autres marqueurs de l’alcoolisme (GGT, VGM), </w:t>
      </w:r>
      <w:r w:rsidR="00482B04">
        <w:rPr>
          <w:rFonts w:ascii="Arial" w:eastAsia="Times New Roman" w:hAnsi="Arial" w:cs="Arial"/>
          <w:color w:val="000000"/>
          <w:lang w:eastAsia="fr-FR"/>
        </w:rPr>
        <w:t xml:space="preserve">une plus grande </w:t>
      </w:r>
      <w:r w:rsidRPr="007435D9">
        <w:rPr>
          <w:rFonts w:ascii="Arial" w:eastAsia="Times New Roman" w:hAnsi="Arial" w:cs="Arial"/>
          <w:color w:val="000000"/>
          <w:lang w:eastAsia="fr-FR"/>
        </w:rPr>
        <w:t>spécificité</w:t>
      </w:r>
      <w:r w:rsidRPr="007E3292">
        <w:rPr>
          <w:rFonts w:ascii="Arial" w:eastAsia="Times New Roman" w:hAnsi="Arial" w:cs="Arial"/>
          <w:color w:val="000000"/>
          <w:lang w:eastAsia="fr-FR"/>
        </w:rPr>
        <w:t xml:space="preserve">. Elle n’est pas influencée par certaines pathologies telles que : pancréatites, cancer du pancréas, infarctus du myocarde, tumeur cérébrale, diabète, la prise de médicaments inducteurs enzymatiques, </w:t>
      </w:r>
      <w:r w:rsidR="007435D9">
        <w:rPr>
          <w:rFonts w:ascii="Arial" w:eastAsia="Times New Roman" w:hAnsi="Arial" w:cs="Arial"/>
          <w:color w:val="000000"/>
          <w:lang w:eastAsia="fr-FR"/>
        </w:rPr>
        <w:t xml:space="preserve">la </w:t>
      </w:r>
      <w:r w:rsidR="000C6CA6">
        <w:rPr>
          <w:rFonts w:ascii="Arial" w:eastAsia="Times New Roman" w:hAnsi="Arial" w:cs="Arial"/>
          <w:color w:val="000000"/>
          <w:lang w:eastAsia="fr-FR"/>
        </w:rPr>
        <w:t xml:space="preserve">consommation </w:t>
      </w:r>
      <w:r w:rsidR="008B55B2">
        <w:rPr>
          <w:rFonts w:ascii="Arial" w:eastAsia="Times New Roman" w:hAnsi="Arial" w:cs="Arial"/>
          <w:color w:val="000000"/>
          <w:lang w:eastAsia="fr-FR"/>
        </w:rPr>
        <w:t xml:space="preserve">d’alcool de moins de 40 grammes par jour, </w:t>
      </w:r>
      <w:r w:rsidRPr="007E3292">
        <w:rPr>
          <w:rFonts w:ascii="Arial" w:eastAsia="Times New Roman" w:hAnsi="Arial" w:cs="Arial"/>
          <w:color w:val="000000"/>
          <w:lang w:eastAsia="fr-FR"/>
        </w:rPr>
        <w:t>etc…</w:t>
      </w:r>
    </w:p>
    <w:p w14:paraId="5CCAC3E9" w14:textId="12E1F650" w:rsidR="008B55B2" w:rsidRDefault="008B55B2" w:rsidP="007E3292">
      <w:pPr>
        <w:spacing w:after="100" w:afterAutospacing="1"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La CDT augmente avant les </w:t>
      </w:r>
      <w:r w:rsidR="00482B04">
        <w:rPr>
          <w:rFonts w:ascii="Arial" w:eastAsia="Times New Roman" w:hAnsi="Arial" w:cs="Arial"/>
          <w:color w:val="000000"/>
          <w:lang w:eastAsia="fr-FR"/>
        </w:rPr>
        <w:t>Gamma GT</w:t>
      </w:r>
      <w:r>
        <w:rPr>
          <w:rFonts w:ascii="Arial" w:eastAsia="Times New Roman" w:hAnsi="Arial" w:cs="Arial"/>
          <w:color w:val="000000"/>
          <w:lang w:eastAsia="fr-FR"/>
        </w:rPr>
        <w:t>, soit dès deux semaines après une consommation élevée et maintenue sur 14 jours</w:t>
      </w:r>
    </w:p>
    <w:p w14:paraId="3C47E29C" w14:textId="51705070" w:rsidR="007E3292" w:rsidRDefault="007E3292" w:rsidP="007E3292">
      <w:pPr>
        <w:spacing w:after="100" w:afterAutospacing="1" w:line="240" w:lineRule="auto"/>
        <w:jc w:val="both"/>
        <w:rPr>
          <w:rFonts w:ascii="Arial" w:eastAsia="Times New Roman" w:hAnsi="Arial" w:cs="Arial"/>
          <w:color w:val="000000"/>
          <w:lang w:eastAsia="fr-FR"/>
        </w:rPr>
      </w:pPr>
      <w:r w:rsidRPr="007E3292">
        <w:rPr>
          <w:rFonts w:ascii="Arial" w:eastAsia="Times New Roman" w:hAnsi="Arial" w:cs="Arial"/>
          <w:color w:val="000000"/>
          <w:lang w:eastAsia="fr-FR"/>
        </w:rPr>
        <w:t>La</w:t>
      </w:r>
      <w:r w:rsidR="00781DBB" w:rsidRPr="00781DBB">
        <w:rPr>
          <w:rFonts w:ascii="Arial" w:eastAsia="Times New Roman" w:hAnsi="Arial" w:cs="Arial"/>
          <w:color w:val="000000"/>
          <w:lang w:eastAsia="fr-FR"/>
        </w:rPr>
        <w:t xml:space="preserve"> demi-</w:t>
      </w:r>
      <w:r w:rsidRPr="007E3292">
        <w:rPr>
          <w:rFonts w:ascii="Arial" w:eastAsia="Times New Roman" w:hAnsi="Arial" w:cs="Arial"/>
          <w:color w:val="000000"/>
          <w:lang w:eastAsia="fr-FR"/>
        </w:rPr>
        <w:t xml:space="preserve"> vie de la CDT est de </w:t>
      </w:r>
      <w:r w:rsidR="00E80A28">
        <w:rPr>
          <w:rFonts w:ascii="Arial" w:eastAsia="Times New Roman" w:hAnsi="Arial" w:cs="Arial"/>
          <w:color w:val="000000"/>
          <w:lang w:eastAsia="fr-FR"/>
        </w:rPr>
        <w:t>14 à 17</w:t>
      </w:r>
      <w:r w:rsidRPr="007E3292">
        <w:rPr>
          <w:rFonts w:ascii="Arial" w:eastAsia="Times New Roman" w:hAnsi="Arial" w:cs="Arial"/>
          <w:color w:val="000000"/>
          <w:lang w:eastAsia="fr-FR"/>
        </w:rPr>
        <w:t xml:space="preserve"> jours, ainsi après 3 semaines d’abstinence le taux revient dans les limites de référence.</w:t>
      </w:r>
    </w:p>
    <w:p w14:paraId="4058221E" w14:textId="3BB95551" w:rsidR="00BD2083" w:rsidRDefault="00BD2083" w:rsidP="007E3292">
      <w:pPr>
        <w:spacing w:after="100" w:afterAutospacing="1" w:line="240" w:lineRule="auto"/>
        <w:jc w:val="both"/>
        <w:rPr>
          <w:rFonts w:ascii="Arial" w:eastAsia="Times New Roman" w:hAnsi="Arial" w:cs="Arial"/>
          <w:color w:val="000000"/>
          <w:lang w:eastAsia="fr-FR"/>
        </w:rPr>
      </w:pPr>
      <w:r w:rsidRPr="00BD2083">
        <w:rPr>
          <w:rFonts w:ascii="Arial" w:eastAsia="Times New Roman" w:hAnsi="Arial" w:cs="Arial"/>
          <w:noProof/>
          <w:color w:val="000000"/>
          <w:lang w:eastAsia="fr-FR"/>
        </w:rPr>
        <w:drawing>
          <wp:inline distT="0" distB="0" distL="0" distR="0" wp14:anchorId="500AD041" wp14:editId="7E93252A">
            <wp:extent cx="6043956" cy="3238500"/>
            <wp:effectExtent l="0" t="0" r="0" b="0"/>
            <wp:docPr id="1860436602"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36602" name="Image 1" descr="Une image contenant texte, capture d’écran, nombre, Police&#10;&#10;Description générée automatiquement"/>
                    <pic:cNvPicPr/>
                  </pic:nvPicPr>
                  <pic:blipFill>
                    <a:blip r:embed="rId9"/>
                    <a:stretch>
                      <a:fillRect/>
                    </a:stretch>
                  </pic:blipFill>
                  <pic:spPr>
                    <a:xfrm>
                      <a:off x="0" y="0"/>
                      <a:ext cx="6044441" cy="3238760"/>
                    </a:xfrm>
                    <a:prstGeom prst="rect">
                      <a:avLst/>
                    </a:prstGeom>
                  </pic:spPr>
                </pic:pic>
              </a:graphicData>
            </a:graphic>
          </wp:inline>
        </w:drawing>
      </w:r>
    </w:p>
    <w:p w14:paraId="169F53E4" w14:textId="77777777" w:rsidR="0024068C" w:rsidRDefault="0024068C" w:rsidP="007E3292">
      <w:pPr>
        <w:spacing w:after="100" w:afterAutospacing="1" w:line="240" w:lineRule="auto"/>
        <w:jc w:val="both"/>
        <w:rPr>
          <w:rFonts w:ascii="Arial" w:eastAsia="Times New Roman" w:hAnsi="Arial" w:cs="Arial"/>
          <w:color w:val="000000"/>
          <w:lang w:eastAsia="fr-FR"/>
        </w:rPr>
      </w:pPr>
    </w:p>
    <w:p w14:paraId="6274FCE6" w14:textId="77777777" w:rsidR="004A25B4" w:rsidRPr="004A25B4" w:rsidRDefault="005D4FAA" w:rsidP="007E3292">
      <w:pPr>
        <w:spacing w:after="100" w:afterAutospacing="1" w:line="240" w:lineRule="auto"/>
        <w:rPr>
          <w:rFonts w:ascii="Arial" w:eastAsia="Times New Roman" w:hAnsi="Arial" w:cs="Arial"/>
          <w:b/>
          <w:bCs/>
          <w:color w:val="000000"/>
          <w:lang w:eastAsia="fr-FR"/>
        </w:rPr>
      </w:pPr>
      <w:r w:rsidRPr="004A25B4">
        <w:rPr>
          <w:rFonts w:ascii="Arial" w:eastAsia="Times New Roman" w:hAnsi="Arial" w:cs="Arial"/>
          <w:b/>
          <w:bCs/>
          <w:color w:val="000000"/>
          <w:lang w:eastAsia="fr-FR"/>
        </w:rPr>
        <w:t>Interprétation des résultats en commission médicale préfectorale :</w:t>
      </w:r>
    </w:p>
    <w:p w14:paraId="0761F085" w14:textId="77777777" w:rsidR="000015DA" w:rsidRDefault="000015DA" w:rsidP="000015DA">
      <w:pPr>
        <w:spacing w:after="100" w:afterAutospacing="1" w:line="240" w:lineRule="auto"/>
        <w:rPr>
          <w:rFonts w:ascii="Arial" w:eastAsia="Times New Roman" w:hAnsi="Arial" w:cs="Arial"/>
          <w:color w:val="000000"/>
          <w:lang w:eastAsia="fr-FR"/>
        </w:rPr>
      </w:pPr>
      <w:r w:rsidRPr="003653DB">
        <w:rPr>
          <w:rFonts w:ascii="Arial" w:eastAsia="Times New Roman" w:hAnsi="Arial" w:cs="Arial"/>
          <w:b/>
          <w:bCs/>
          <w:color w:val="000000"/>
          <w:lang w:eastAsia="fr-FR"/>
        </w:rPr>
        <w:t>Le dosage de l’alcoolémie</w:t>
      </w:r>
      <w:r>
        <w:rPr>
          <w:rFonts w:ascii="Arial" w:eastAsia="Times New Roman" w:hAnsi="Arial" w:cs="Arial"/>
          <w:color w:val="000000"/>
          <w:lang w:eastAsia="fr-FR"/>
        </w:rPr>
        <w:t xml:space="preserve"> est un test vérifiant la consommation d’alcool du conducteur dans les heures précédant la prise de sang. Il s’agit d’un test de dépistage de l’alcoolisation et non de suivi thérapeutique.</w:t>
      </w:r>
    </w:p>
    <w:p w14:paraId="5354C6DA" w14:textId="77777777" w:rsidR="000015DA" w:rsidRDefault="000015DA" w:rsidP="000015DA">
      <w:pPr>
        <w:spacing w:after="100" w:afterAutospacing="1" w:line="240" w:lineRule="auto"/>
        <w:rPr>
          <w:rFonts w:ascii="Arial" w:eastAsia="Times New Roman" w:hAnsi="Arial" w:cs="Arial"/>
          <w:color w:val="000000"/>
          <w:lang w:eastAsia="fr-FR"/>
        </w:rPr>
      </w:pPr>
      <w:r w:rsidRPr="003653DB">
        <w:rPr>
          <w:rFonts w:ascii="Arial" w:eastAsia="Times New Roman" w:hAnsi="Arial" w:cs="Arial"/>
          <w:b/>
          <w:bCs/>
          <w:color w:val="000000"/>
          <w:lang w:eastAsia="fr-FR"/>
        </w:rPr>
        <w:lastRenderedPageBreak/>
        <w:t>L’interrogatoire et l’examen physique</w:t>
      </w:r>
      <w:r>
        <w:rPr>
          <w:rFonts w:ascii="Arial" w:eastAsia="Times New Roman" w:hAnsi="Arial" w:cs="Arial"/>
          <w:color w:val="000000"/>
          <w:lang w:eastAsia="fr-FR"/>
        </w:rPr>
        <w:t xml:space="preserve"> en cours de visite sont nécessaires pour statuer sur les capacités fonctionnelles physiques et psychiques du conducteur associé à la lecture des tests biologiques.</w:t>
      </w:r>
    </w:p>
    <w:p w14:paraId="210D7405" w14:textId="0AE922D3" w:rsidR="007A603C" w:rsidRDefault="005D4FAA" w:rsidP="007E3292">
      <w:pPr>
        <w:spacing w:after="100" w:afterAutospacing="1" w:line="240" w:lineRule="auto"/>
        <w:rPr>
          <w:rFonts w:ascii="Arial" w:eastAsia="Times New Roman" w:hAnsi="Arial" w:cs="Arial"/>
          <w:color w:val="000000"/>
          <w:lang w:eastAsia="fr-FR"/>
        </w:rPr>
      </w:pPr>
      <w:r w:rsidRPr="003653DB">
        <w:rPr>
          <w:rFonts w:ascii="Arial" w:eastAsia="Times New Roman" w:hAnsi="Arial" w:cs="Arial"/>
          <w:b/>
          <w:bCs/>
          <w:color w:val="000000"/>
          <w:lang w:eastAsia="fr-FR"/>
        </w:rPr>
        <w:t>Le dosage de CDT</w:t>
      </w:r>
      <w:r>
        <w:rPr>
          <w:rFonts w:ascii="Arial" w:eastAsia="Times New Roman" w:hAnsi="Arial" w:cs="Arial"/>
          <w:color w:val="000000"/>
          <w:lang w:eastAsia="fr-FR"/>
        </w:rPr>
        <w:t xml:space="preserve"> </w:t>
      </w:r>
      <w:r w:rsidR="007A603C">
        <w:rPr>
          <w:rFonts w:ascii="Arial" w:eastAsia="Times New Roman" w:hAnsi="Arial" w:cs="Arial"/>
          <w:color w:val="000000"/>
          <w:lang w:eastAsia="fr-FR"/>
        </w:rPr>
        <w:t xml:space="preserve">est un dépistage de la consommation régulière, prolongée et excessive de boissons alcoolisées. Ce dosage </w:t>
      </w:r>
      <w:r>
        <w:rPr>
          <w:rFonts w:ascii="Arial" w:eastAsia="Times New Roman" w:hAnsi="Arial" w:cs="Arial"/>
          <w:color w:val="000000"/>
          <w:lang w:eastAsia="fr-FR"/>
        </w:rPr>
        <w:t xml:space="preserve">est </w:t>
      </w:r>
      <w:r w:rsidR="007A603C">
        <w:rPr>
          <w:rFonts w:ascii="Arial" w:eastAsia="Times New Roman" w:hAnsi="Arial" w:cs="Arial"/>
          <w:color w:val="000000"/>
          <w:lang w:eastAsia="fr-FR"/>
        </w:rPr>
        <w:t xml:space="preserve">actuellement </w:t>
      </w:r>
      <w:r>
        <w:rPr>
          <w:rFonts w:ascii="Arial" w:eastAsia="Times New Roman" w:hAnsi="Arial" w:cs="Arial"/>
          <w:color w:val="000000"/>
          <w:lang w:eastAsia="fr-FR"/>
        </w:rPr>
        <w:t>obligatoire et doit être effectué avant de se présenter en commission. Le dosage de CDT est associé</w:t>
      </w:r>
      <w:r w:rsidR="004A25B4">
        <w:rPr>
          <w:rFonts w:ascii="Arial" w:eastAsia="Times New Roman" w:hAnsi="Arial" w:cs="Arial"/>
          <w:color w:val="000000"/>
          <w:lang w:eastAsia="fr-FR"/>
        </w:rPr>
        <w:t xml:space="preserve"> systématiquement au dosage des </w:t>
      </w:r>
      <w:r w:rsidR="007A603C">
        <w:rPr>
          <w:rFonts w:ascii="Arial" w:eastAsia="Times New Roman" w:hAnsi="Arial" w:cs="Arial"/>
          <w:color w:val="000000"/>
          <w:lang w:eastAsia="fr-FR"/>
        </w:rPr>
        <w:t>Gamma GT</w:t>
      </w:r>
      <w:r w:rsidR="004A25B4">
        <w:rPr>
          <w:rFonts w:ascii="Arial" w:eastAsia="Times New Roman" w:hAnsi="Arial" w:cs="Arial"/>
          <w:color w:val="000000"/>
          <w:lang w:eastAsia="fr-FR"/>
        </w:rPr>
        <w:t xml:space="preserve"> et du Volume globulaire moyen des globules rouges (VGM). Ces examens sont demandés pour vérifier que le conducteur se présentant consomme des boissons alcoolisées </w:t>
      </w:r>
      <w:r w:rsidR="007A603C">
        <w:rPr>
          <w:rFonts w:ascii="Arial" w:eastAsia="Times New Roman" w:hAnsi="Arial" w:cs="Arial"/>
          <w:color w:val="000000"/>
          <w:lang w:eastAsia="fr-FR"/>
        </w:rPr>
        <w:t>« </w:t>
      </w:r>
      <w:r w:rsidR="004A25B4">
        <w:rPr>
          <w:rFonts w:ascii="Arial" w:eastAsia="Times New Roman" w:hAnsi="Arial" w:cs="Arial"/>
          <w:color w:val="000000"/>
          <w:lang w:eastAsia="fr-FR"/>
        </w:rPr>
        <w:t>avec modération</w:t>
      </w:r>
      <w:r w:rsidR="007A603C">
        <w:rPr>
          <w:rFonts w:ascii="Arial" w:eastAsia="Times New Roman" w:hAnsi="Arial" w:cs="Arial"/>
          <w:color w:val="000000"/>
          <w:lang w:eastAsia="fr-FR"/>
        </w:rPr>
        <w:t> »</w:t>
      </w:r>
      <w:r w:rsidR="004A25B4">
        <w:rPr>
          <w:rFonts w:ascii="Arial" w:eastAsia="Times New Roman" w:hAnsi="Arial" w:cs="Arial"/>
          <w:color w:val="000000"/>
          <w:lang w:eastAsia="fr-FR"/>
        </w:rPr>
        <w:t xml:space="preserve"> sur une période prolongée. </w:t>
      </w:r>
    </w:p>
    <w:p w14:paraId="622C8479" w14:textId="5043621E" w:rsidR="000E3D99" w:rsidRDefault="0053106C" w:rsidP="000E3D99">
      <w:pPr>
        <w:pStyle w:val="Paragraphedeliste"/>
        <w:numPr>
          <w:ilvl w:val="0"/>
          <w:numId w:val="11"/>
        </w:numPr>
        <w:spacing w:after="100" w:afterAutospacing="1" w:line="240" w:lineRule="auto"/>
        <w:rPr>
          <w:rFonts w:ascii="Arial" w:eastAsia="Times New Roman" w:hAnsi="Arial" w:cs="Arial"/>
          <w:color w:val="000000"/>
          <w:lang w:eastAsia="fr-FR"/>
        </w:rPr>
      </w:pPr>
      <w:r w:rsidRPr="000E3D99">
        <w:rPr>
          <w:rFonts w:ascii="Arial" w:eastAsia="Times New Roman" w:hAnsi="Arial" w:cs="Arial"/>
          <w:color w:val="000000"/>
          <w:lang w:eastAsia="fr-FR"/>
        </w:rPr>
        <w:t xml:space="preserve">Un taux de CDT « normal » associé à un VGM et des </w:t>
      </w:r>
      <w:r w:rsidR="0024068C">
        <w:rPr>
          <w:rFonts w:ascii="Arial" w:eastAsia="Times New Roman" w:hAnsi="Arial" w:cs="Arial"/>
          <w:color w:val="000000"/>
          <w:lang w:eastAsia="fr-FR"/>
        </w:rPr>
        <w:t xml:space="preserve">gamma </w:t>
      </w:r>
      <w:r w:rsidRPr="000E3D99">
        <w:rPr>
          <w:rFonts w:ascii="Arial" w:eastAsia="Times New Roman" w:hAnsi="Arial" w:cs="Arial"/>
          <w:color w:val="000000"/>
          <w:lang w:eastAsia="fr-FR"/>
        </w:rPr>
        <w:t>GT normales est favorable mais pas suffisant</w:t>
      </w:r>
      <w:r w:rsidR="00510367">
        <w:rPr>
          <w:rFonts w:ascii="Arial" w:eastAsia="Times New Roman" w:hAnsi="Arial" w:cs="Arial"/>
          <w:color w:val="000000"/>
          <w:lang w:eastAsia="fr-FR"/>
        </w:rPr>
        <w:t xml:space="preserve"> pour conclure à l’aptitude à la conduite</w:t>
      </w:r>
      <w:r w:rsidRPr="000E3D99">
        <w:rPr>
          <w:rFonts w:ascii="Arial" w:eastAsia="Times New Roman" w:hAnsi="Arial" w:cs="Arial"/>
          <w:color w:val="000000"/>
          <w:lang w:eastAsia="fr-FR"/>
        </w:rPr>
        <w:t>.</w:t>
      </w:r>
      <w:r w:rsidR="003B495B" w:rsidRPr="000E3D99">
        <w:rPr>
          <w:rFonts w:ascii="Arial" w:eastAsia="Times New Roman" w:hAnsi="Arial" w:cs="Arial"/>
          <w:color w:val="000000"/>
          <w:lang w:eastAsia="fr-FR"/>
        </w:rPr>
        <w:t xml:space="preserve"> L’examen clinique et l’interrogatoire demeurent indispensables pour certifier l’aptitude.</w:t>
      </w:r>
    </w:p>
    <w:p w14:paraId="24173D85" w14:textId="77777777" w:rsidR="0096311C" w:rsidRPr="0096311C" w:rsidRDefault="0096311C" w:rsidP="0096311C">
      <w:pPr>
        <w:spacing w:after="100" w:afterAutospacing="1" w:line="240" w:lineRule="auto"/>
        <w:rPr>
          <w:rFonts w:ascii="Arial" w:eastAsia="Times New Roman" w:hAnsi="Arial" w:cs="Arial"/>
          <w:color w:val="000000"/>
          <w:lang w:eastAsia="fr-FR"/>
        </w:rPr>
      </w:pPr>
    </w:p>
    <w:p w14:paraId="3056D477" w14:textId="2CE9B6C5" w:rsidR="00AF1FFF" w:rsidRPr="0096311C" w:rsidRDefault="00510367" w:rsidP="0096311C">
      <w:pPr>
        <w:pStyle w:val="Paragraphedeliste"/>
        <w:numPr>
          <w:ilvl w:val="0"/>
          <w:numId w:val="11"/>
        </w:numPr>
        <w:spacing w:after="100" w:afterAutospacing="1" w:line="240" w:lineRule="auto"/>
        <w:rPr>
          <w:rFonts w:ascii="Arial" w:eastAsia="Times New Roman" w:hAnsi="Arial" w:cs="Arial"/>
          <w:color w:val="000000"/>
          <w:lang w:eastAsia="fr-FR"/>
        </w:rPr>
      </w:pPr>
      <w:r w:rsidRPr="0096311C">
        <w:rPr>
          <w:rFonts w:ascii="Arial" w:eastAsia="Times New Roman" w:hAnsi="Arial" w:cs="Arial"/>
          <w:color w:val="000000"/>
          <w:lang w:eastAsia="fr-FR"/>
        </w:rPr>
        <w:t>U</w:t>
      </w:r>
      <w:r w:rsidR="0053106C" w:rsidRPr="0096311C">
        <w:rPr>
          <w:rFonts w:ascii="Arial" w:eastAsia="Times New Roman" w:hAnsi="Arial" w:cs="Arial"/>
          <w:color w:val="000000"/>
          <w:lang w:eastAsia="fr-FR"/>
        </w:rPr>
        <w:t xml:space="preserve">n taux </w:t>
      </w:r>
      <w:r w:rsidRPr="0096311C">
        <w:rPr>
          <w:rFonts w:ascii="Arial" w:eastAsia="Times New Roman" w:hAnsi="Arial" w:cs="Arial"/>
          <w:color w:val="000000"/>
          <w:lang w:eastAsia="fr-FR"/>
        </w:rPr>
        <w:t>de CDT</w:t>
      </w:r>
      <w:r w:rsidR="0053106C" w:rsidRPr="0096311C">
        <w:rPr>
          <w:rFonts w:ascii="Arial" w:eastAsia="Times New Roman" w:hAnsi="Arial" w:cs="Arial"/>
          <w:color w:val="000000"/>
          <w:lang w:eastAsia="fr-FR"/>
        </w:rPr>
        <w:t xml:space="preserve"> de 1,</w:t>
      </w:r>
      <w:r w:rsidRPr="0096311C">
        <w:rPr>
          <w:rFonts w:ascii="Arial" w:eastAsia="Times New Roman" w:hAnsi="Arial" w:cs="Arial"/>
          <w:color w:val="000000"/>
          <w:lang w:eastAsia="fr-FR"/>
        </w:rPr>
        <w:t>8</w:t>
      </w:r>
      <w:r w:rsidR="0053106C" w:rsidRPr="0096311C">
        <w:rPr>
          <w:rFonts w:ascii="Arial" w:eastAsia="Times New Roman" w:hAnsi="Arial" w:cs="Arial"/>
          <w:color w:val="000000"/>
          <w:lang w:eastAsia="fr-FR"/>
        </w:rPr>
        <w:t xml:space="preserve"> </w:t>
      </w:r>
      <w:r w:rsidRPr="0096311C">
        <w:rPr>
          <w:rFonts w:ascii="Arial" w:eastAsia="Times New Roman" w:hAnsi="Arial" w:cs="Arial"/>
          <w:color w:val="000000"/>
          <w:lang w:eastAsia="fr-FR"/>
        </w:rPr>
        <w:t>ou</w:t>
      </w:r>
      <w:r w:rsidR="0053106C" w:rsidRPr="0096311C">
        <w:rPr>
          <w:rFonts w:ascii="Arial" w:eastAsia="Times New Roman" w:hAnsi="Arial" w:cs="Arial"/>
          <w:color w:val="000000"/>
          <w:lang w:eastAsia="fr-FR"/>
        </w:rPr>
        <w:t xml:space="preserve"> 1,9 %, </w:t>
      </w:r>
      <w:r w:rsidRPr="0096311C">
        <w:rPr>
          <w:rFonts w:ascii="Arial" w:eastAsia="Times New Roman" w:hAnsi="Arial" w:cs="Arial"/>
          <w:color w:val="000000"/>
          <w:lang w:eastAsia="fr-FR"/>
        </w:rPr>
        <w:t xml:space="preserve">est insuffisamment contributif </w:t>
      </w:r>
      <w:r w:rsidR="0053106C" w:rsidRPr="0096311C">
        <w:rPr>
          <w:rFonts w:ascii="Arial" w:eastAsia="Times New Roman" w:hAnsi="Arial" w:cs="Arial"/>
          <w:color w:val="000000"/>
          <w:lang w:eastAsia="fr-FR"/>
        </w:rPr>
        <w:t xml:space="preserve">nécessite un </w:t>
      </w:r>
      <w:r w:rsidR="00AF1FFF" w:rsidRPr="0096311C">
        <w:rPr>
          <w:rFonts w:ascii="Arial" w:eastAsia="Times New Roman" w:hAnsi="Arial" w:cs="Arial"/>
          <w:color w:val="000000"/>
          <w:lang w:eastAsia="fr-FR"/>
        </w:rPr>
        <w:t>nouveau</w:t>
      </w:r>
      <w:r w:rsidR="0053106C" w:rsidRPr="0096311C">
        <w:rPr>
          <w:rFonts w:ascii="Arial" w:eastAsia="Times New Roman" w:hAnsi="Arial" w:cs="Arial"/>
          <w:color w:val="000000"/>
          <w:lang w:eastAsia="fr-FR"/>
        </w:rPr>
        <w:t xml:space="preserve"> contrôle sanguin 3 à 4 semaines </w:t>
      </w:r>
      <w:r w:rsidR="00AF1FFF" w:rsidRPr="0096311C">
        <w:rPr>
          <w:rFonts w:ascii="Arial" w:eastAsia="Times New Roman" w:hAnsi="Arial" w:cs="Arial"/>
          <w:color w:val="000000"/>
          <w:lang w:eastAsia="fr-FR"/>
        </w:rPr>
        <w:t>après</w:t>
      </w:r>
      <w:r w:rsidR="0053106C" w:rsidRPr="0096311C">
        <w:rPr>
          <w:rFonts w:ascii="Arial" w:eastAsia="Times New Roman" w:hAnsi="Arial" w:cs="Arial"/>
          <w:color w:val="000000"/>
          <w:lang w:eastAsia="fr-FR"/>
        </w:rPr>
        <w:t xml:space="preserve"> le 1</w:t>
      </w:r>
      <w:r w:rsidR="0053106C" w:rsidRPr="0096311C">
        <w:rPr>
          <w:rFonts w:ascii="Arial" w:eastAsia="Times New Roman" w:hAnsi="Arial" w:cs="Arial"/>
          <w:color w:val="000000"/>
          <w:vertAlign w:val="superscript"/>
          <w:lang w:eastAsia="fr-FR"/>
        </w:rPr>
        <w:t>er</w:t>
      </w:r>
      <w:r w:rsidR="0053106C" w:rsidRPr="0096311C">
        <w:rPr>
          <w:rFonts w:ascii="Arial" w:eastAsia="Times New Roman" w:hAnsi="Arial" w:cs="Arial"/>
          <w:color w:val="000000"/>
          <w:lang w:eastAsia="fr-FR"/>
        </w:rPr>
        <w:t xml:space="preserve"> test </w:t>
      </w:r>
      <w:r w:rsidR="00AF1FFF" w:rsidRPr="0096311C">
        <w:rPr>
          <w:rFonts w:ascii="Arial" w:eastAsia="Times New Roman" w:hAnsi="Arial" w:cs="Arial"/>
          <w:color w:val="000000"/>
          <w:lang w:eastAsia="fr-FR"/>
        </w:rPr>
        <w:t>avec la</w:t>
      </w:r>
      <w:r w:rsidR="0053106C" w:rsidRPr="0096311C">
        <w:rPr>
          <w:rFonts w:ascii="Arial" w:eastAsia="Times New Roman" w:hAnsi="Arial" w:cs="Arial"/>
          <w:color w:val="000000"/>
          <w:lang w:eastAsia="fr-FR"/>
        </w:rPr>
        <w:t xml:space="preserve"> suppression totale des boissons </w:t>
      </w:r>
      <w:r w:rsidR="00AF1FFF" w:rsidRPr="0096311C">
        <w:rPr>
          <w:rFonts w:ascii="Arial" w:eastAsia="Times New Roman" w:hAnsi="Arial" w:cs="Arial"/>
          <w:color w:val="000000"/>
          <w:lang w:eastAsia="fr-FR"/>
        </w:rPr>
        <w:t>alcoolisées</w:t>
      </w:r>
      <w:r w:rsidR="0053106C" w:rsidRPr="0096311C">
        <w:rPr>
          <w:rFonts w:ascii="Arial" w:eastAsia="Times New Roman" w:hAnsi="Arial" w:cs="Arial"/>
          <w:color w:val="000000"/>
          <w:lang w:eastAsia="fr-FR"/>
        </w:rPr>
        <w:t xml:space="preserve">. La normalisation des CDT </w:t>
      </w:r>
      <w:r w:rsidR="00AF1FFF" w:rsidRPr="0096311C">
        <w:rPr>
          <w:rFonts w:ascii="Arial" w:eastAsia="Times New Roman" w:hAnsi="Arial" w:cs="Arial"/>
          <w:color w:val="000000"/>
          <w:lang w:eastAsia="fr-FR"/>
        </w:rPr>
        <w:t xml:space="preserve">prouve le sérieux et surtout </w:t>
      </w:r>
      <w:r w:rsidR="003B495B" w:rsidRPr="0096311C">
        <w:rPr>
          <w:rFonts w:ascii="Arial" w:eastAsia="Times New Roman" w:hAnsi="Arial" w:cs="Arial"/>
          <w:color w:val="000000"/>
          <w:lang w:eastAsia="fr-FR"/>
        </w:rPr>
        <w:t>la</w:t>
      </w:r>
      <w:r w:rsidR="00AF1FFF" w:rsidRPr="0096311C">
        <w:rPr>
          <w:rFonts w:ascii="Arial" w:eastAsia="Times New Roman" w:hAnsi="Arial" w:cs="Arial"/>
          <w:color w:val="000000"/>
          <w:lang w:eastAsia="fr-FR"/>
        </w:rPr>
        <w:t xml:space="preserve"> compréhension du conducteur face à sa consommation excessive</w:t>
      </w:r>
      <w:r w:rsidR="003B495B" w:rsidRPr="0096311C">
        <w:rPr>
          <w:rFonts w:ascii="Arial" w:eastAsia="Times New Roman" w:hAnsi="Arial" w:cs="Arial"/>
          <w:color w:val="000000"/>
          <w:lang w:eastAsia="fr-FR"/>
        </w:rPr>
        <w:t>.</w:t>
      </w:r>
    </w:p>
    <w:p w14:paraId="37D2FCAB" w14:textId="77777777" w:rsidR="000E3D99" w:rsidRPr="000E3D99" w:rsidRDefault="000E3D99" w:rsidP="000E3D99">
      <w:pPr>
        <w:pStyle w:val="Paragraphedeliste"/>
        <w:rPr>
          <w:rFonts w:ascii="Arial" w:eastAsia="Times New Roman" w:hAnsi="Arial" w:cs="Arial"/>
          <w:color w:val="000000"/>
          <w:lang w:eastAsia="fr-FR"/>
        </w:rPr>
      </w:pPr>
    </w:p>
    <w:p w14:paraId="1F025711" w14:textId="77777777" w:rsidR="000E3D99" w:rsidRPr="000E3D99" w:rsidRDefault="000E3D99" w:rsidP="000E3D99">
      <w:pPr>
        <w:spacing w:after="100" w:afterAutospacing="1" w:line="240" w:lineRule="auto"/>
        <w:rPr>
          <w:rFonts w:ascii="Arial" w:eastAsia="Times New Roman" w:hAnsi="Arial" w:cs="Arial"/>
          <w:color w:val="000000"/>
          <w:lang w:eastAsia="fr-FR"/>
        </w:rPr>
      </w:pPr>
    </w:p>
    <w:p w14:paraId="6C5B23D5" w14:textId="7DF7A07A" w:rsidR="0053106C" w:rsidRDefault="00AF1FFF" w:rsidP="000E3D99">
      <w:pPr>
        <w:pStyle w:val="Paragraphedeliste"/>
        <w:numPr>
          <w:ilvl w:val="0"/>
          <w:numId w:val="11"/>
        </w:numPr>
        <w:spacing w:after="100" w:afterAutospacing="1" w:line="240" w:lineRule="auto"/>
        <w:rPr>
          <w:rFonts w:ascii="Arial" w:eastAsia="Times New Roman" w:hAnsi="Arial" w:cs="Arial"/>
          <w:color w:val="000000"/>
          <w:lang w:eastAsia="fr-FR"/>
        </w:rPr>
      </w:pPr>
      <w:r w:rsidRPr="000E3D99">
        <w:rPr>
          <w:rFonts w:ascii="Arial" w:eastAsia="Times New Roman" w:hAnsi="Arial" w:cs="Arial"/>
          <w:color w:val="000000"/>
          <w:lang w:eastAsia="fr-FR"/>
        </w:rPr>
        <w:t xml:space="preserve">Un taux égal ou supérieur à 2% est </w:t>
      </w:r>
      <w:r w:rsidR="003B495B" w:rsidRPr="000E3D99">
        <w:rPr>
          <w:rFonts w:ascii="Arial" w:eastAsia="Times New Roman" w:hAnsi="Arial" w:cs="Arial"/>
          <w:color w:val="000000"/>
          <w:lang w:eastAsia="fr-FR"/>
        </w:rPr>
        <w:t xml:space="preserve">beaucoup plus </w:t>
      </w:r>
      <w:r w:rsidRPr="000E3D99">
        <w:rPr>
          <w:rFonts w:ascii="Arial" w:eastAsia="Times New Roman" w:hAnsi="Arial" w:cs="Arial"/>
          <w:color w:val="000000"/>
          <w:lang w:eastAsia="fr-FR"/>
        </w:rPr>
        <w:t>problématique</w:t>
      </w:r>
      <w:r w:rsidR="003B495B" w:rsidRPr="000E3D99">
        <w:rPr>
          <w:rFonts w:ascii="Arial" w:eastAsia="Times New Roman" w:hAnsi="Arial" w:cs="Arial"/>
          <w:color w:val="000000"/>
          <w:lang w:eastAsia="fr-FR"/>
        </w:rPr>
        <w:t> ! Les médecins recherche</w:t>
      </w:r>
      <w:r w:rsidR="0096311C">
        <w:rPr>
          <w:rFonts w:ascii="Arial" w:eastAsia="Times New Roman" w:hAnsi="Arial" w:cs="Arial"/>
          <w:color w:val="000000"/>
          <w:lang w:eastAsia="fr-FR"/>
        </w:rPr>
        <w:t>nt alors</w:t>
      </w:r>
      <w:r w:rsidR="003B495B" w:rsidRPr="000E3D99">
        <w:rPr>
          <w:rFonts w:ascii="Arial" w:eastAsia="Times New Roman" w:hAnsi="Arial" w:cs="Arial"/>
          <w:color w:val="000000"/>
          <w:lang w:eastAsia="fr-FR"/>
        </w:rPr>
        <w:t xml:space="preserve"> avec le conducteur à quantifier ave</w:t>
      </w:r>
      <w:r w:rsidR="00510367">
        <w:rPr>
          <w:rFonts w:ascii="Arial" w:eastAsia="Times New Roman" w:hAnsi="Arial" w:cs="Arial"/>
          <w:color w:val="000000"/>
          <w:lang w:eastAsia="fr-FR"/>
        </w:rPr>
        <w:t>c</w:t>
      </w:r>
      <w:r w:rsidR="003B495B" w:rsidRPr="000E3D99">
        <w:rPr>
          <w:rFonts w:ascii="Arial" w:eastAsia="Times New Roman" w:hAnsi="Arial" w:cs="Arial"/>
          <w:color w:val="000000"/>
          <w:lang w:eastAsia="fr-FR"/>
        </w:rPr>
        <w:t xml:space="preserve"> exactitude la consommation d’alcool du conducteur, ses raisons et quelles pistes peuvent être suivies pour accéder à une </w:t>
      </w:r>
      <w:r w:rsidR="0064389F" w:rsidRPr="000E3D99">
        <w:rPr>
          <w:rFonts w:ascii="Arial" w:eastAsia="Times New Roman" w:hAnsi="Arial" w:cs="Arial"/>
          <w:color w:val="000000"/>
          <w:lang w:eastAsia="fr-FR"/>
        </w:rPr>
        <w:t>consommation</w:t>
      </w:r>
      <w:r w:rsidR="003B495B" w:rsidRPr="000E3D99">
        <w:rPr>
          <w:rFonts w:ascii="Arial" w:eastAsia="Times New Roman" w:hAnsi="Arial" w:cs="Arial"/>
          <w:color w:val="000000"/>
          <w:lang w:eastAsia="fr-FR"/>
        </w:rPr>
        <w:t xml:space="preserve"> modérée et le plus faiblement possible génératrice de </w:t>
      </w:r>
      <w:r w:rsidR="0064389F" w:rsidRPr="000E3D99">
        <w:rPr>
          <w:rFonts w:ascii="Arial" w:eastAsia="Times New Roman" w:hAnsi="Arial" w:cs="Arial"/>
          <w:color w:val="000000"/>
          <w:lang w:eastAsia="fr-FR"/>
        </w:rPr>
        <w:t>pathologies</w:t>
      </w:r>
      <w:r w:rsidR="003B495B" w:rsidRPr="000E3D99">
        <w:rPr>
          <w:rFonts w:ascii="Arial" w:eastAsia="Times New Roman" w:hAnsi="Arial" w:cs="Arial"/>
          <w:color w:val="000000"/>
          <w:lang w:eastAsia="fr-FR"/>
        </w:rPr>
        <w:t xml:space="preserve"> liées à l’alcool</w:t>
      </w:r>
      <w:r w:rsidR="001001EC" w:rsidRPr="000E3D99">
        <w:rPr>
          <w:rFonts w:ascii="Arial" w:eastAsia="Times New Roman" w:hAnsi="Arial" w:cs="Arial"/>
          <w:color w:val="000000"/>
          <w:lang w:eastAsia="fr-FR"/>
        </w:rPr>
        <w:t xml:space="preserve"> </w:t>
      </w:r>
      <w:r w:rsidR="003B495B" w:rsidRPr="000E3D99">
        <w:rPr>
          <w:rFonts w:ascii="Arial" w:eastAsia="Times New Roman" w:hAnsi="Arial" w:cs="Arial"/>
          <w:color w:val="000000"/>
          <w:lang w:eastAsia="fr-FR"/>
        </w:rPr>
        <w:t xml:space="preserve">(cirrhose du foie, </w:t>
      </w:r>
      <w:r w:rsidR="001001EC" w:rsidRPr="000E3D99">
        <w:rPr>
          <w:rFonts w:ascii="Arial" w:eastAsia="Times New Roman" w:hAnsi="Arial" w:cs="Arial"/>
          <w:color w:val="000000"/>
          <w:lang w:eastAsia="fr-FR"/>
        </w:rPr>
        <w:t xml:space="preserve">troubles neurologiques, cancers, etc …) Les médecins peuvent alors proposer un nouvel examen biologique à effectuer 3 à 4 semaines après cette visite ou au vu des conclusions de l’examen, prononcer une </w:t>
      </w:r>
      <w:r w:rsidR="0096311C">
        <w:rPr>
          <w:rFonts w:ascii="Arial" w:eastAsia="Times New Roman" w:hAnsi="Arial" w:cs="Arial"/>
          <w:color w:val="000000"/>
          <w:lang w:eastAsia="fr-FR"/>
        </w:rPr>
        <w:t xml:space="preserve">aptitude ou une </w:t>
      </w:r>
      <w:r w:rsidR="001001EC" w:rsidRPr="000E3D99">
        <w:rPr>
          <w:rFonts w:ascii="Arial" w:eastAsia="Times New Roman" w:hAnsi="Arial" w:cs="Arial"/>
          <w:color w:val="000000"/>
          <w:lang w:eastAsia="fr-FR"/>
        </w:rPr>
        <w:t>inaptitude à la conduite.</w:t>
      </w:r>
    </w:p>
    <w:p w14:paraId="5CA7F83E" w14:textId="77777777" w:rsidR="006A0A0A" w:rsidRPr="006A0A0A" w:rsidRDefault="006A0A0A" w:rsidP="006A0A0A">
      <w:pPr>
        <w:pStyle w:val="Paragraphedeliste"/>
        <w:rPr>
          <w:rFonts w:eastAsia="Times New Roman"/>
        </w:rPr>
      </w:pPr>
    </w:p>
    <w:p w14:paraId="32EB4282" w14:textId="77777777" w:rsidR="006A0A0A" w:rsidRDefault="006A0A0A" w:rsidP="006A0A0A">
      <w:pPr>
        <w:pStyle w:val="p2"/>
        <w:spacing w:before="0" w:beforeAutospacing="0" w:after="0" w:afterAutospacing="0"/>
      </w:pPr>
      <w:r>
        <w:rPr>
          <w:rStyle w:val="s2"/>
          <w:rFonts w:ascii="UICTFontTextStyleEmphasizedBody" w:hAnsi="UICTFontTextStyleEmphasizedBody"/>
          <w:b/>
          <w:bCs/>
        </w:rPr>
        <w:t>Tableau comparatif CDT en Europe</w:t>
      </w:r>
    </w:p>
    <w:p w14:paraId="066342DB" w14:textId="77777777" w:rsidR="006A0A0A" w:rsidRDefault="006A0A0A" w:rsidP="006A0A0A">
      <w:pPr>
        <w:pStyle w:val="p1"/>
        <w:spacing w:before="0" w:beforeAutospacing="0" w:after="0" w:afterAutospacing="0"/>
        <w:ind w:left="720"/>
      </w:pPr>
    </w:p>
    <w:tbl>
      <w:tblPr>
        <w:tblW w:w="0" w:type="auto"/>
        <w:tblCellMar>
          <w:left w:w="0" w:type="dxa"/>
          <w:right w:w="0" w:type="dxa"/>
        </w:tblCellMar>
        <w:tblLook w:val="04A0" w:firstRow="1" w:lastRow="0" w:firstColumn="1" w:lastColumn="0" w:noHBand="0" w:noVBand="1"/>
      </w:tblPr>
      <w:tblGrid>
        <w:gridCol w:w="1931"/>
        <w:gridCol w:w="1689"/>
        <w:gridCol w:w="3061"/>
        <w:gridCol w:w="2375"/>
      </w:tblGrid>
      <w:tr w:rsidR="006A0A0A" w14:paraId="2ACE09FF"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90885EE" w14:textId="77777777" w:rsidR="006A0A0A" w:rsidRDefault="006A0A0A">
            <w:pPr>
              <w:pStyle w:val="p3"/>
              <w:spacing w:before="0" w:beforeAutospacing="0" w:after="0" w:afterAutospacing="0"/>
              <w:rPr>
                <w:color w:val="000000"/>
                <w:sz w:val="26"/>
                <w:szCs w:val="26"/>
              </w:rPr>
            </w:pPr>
            <w:r>
              <w:rPr>
                <w:rStyle w:val="s3"/>
                <w:rFonts w:ascii="UICTFontTextStyleEmphasizedBody" w:hAnsi="UICTFontTextStyleEmphasizedBody"/>
                <w:b/>
                <w:bCs/>
                <w:color w:val="000000"/>
                <w:sz w:val="26"/>
                <w:szCs w:val="26"/>
              </w:rPr>
              <w:t>Pays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706C20B" w14:textId="77777777" w:rsidR="006A0A0A" w:rsidRDefault="006A0A0A">
            <w:pPr>
              <w:pStyle w:val="p3"/>
              <w:spacing w:before="0" w:beforeAutospacing="0" w:after="0" w:afterAutospacing="0"/>
              <w:rPr>
                <w:color w:val="000000"/>
                <w:sz w:val="26"/>
                <w:szCs w:val="26"/>
              </w:rPr>
            </w:pPr>
            <w:r>
              <w:rPr>
                <w:rStyle w:val="s3"/>
                <w:rFonts w:ascii="UICTFontTextStyleEmphasizedBody" w:hAnsi="UICTFontTextStyleEmphasizedBody"/>
                <w:b/>
                <w:bCs/>
                <w:color w:val="000000"/>
                <w:sz w:val="26"/>
                <w:szCs w:val="26"/>
              </w:rPr>
              <w:t>Seuil officiel (positif)</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94EFDE1" w14:textId="77777777" w:rsidR="006A0A0A" w:rsidRDefault="006A0A0A">
            <w:pPr>
              <w:pStyle w:val="p3"/>
              <w:spacing w:before="0" w:beforeAutospacing="0" w:after="0" w:afterAutospacing="0"/>
              <w:rPr>
                <w:color w:val="000000"/>
                <w:sz w:val="26"/>
                <w:szCs w:val="26"/>
              </w:rPr>
            </w:pPr>
            <w:r>
              <w:rPr>
                <w:rStyle w:val="s3"/>
                <w:rFonts w:ascii="UICTFontTextStyleEmphasizedBody" w:hAnsi="UICTFontTextStyleEmphasizedBody"/>
                <w:b/>
                <w:bCs/>
                <w:color w:val="000000"/>
                <w:sz w:val="26"/>
                <w:szCs w:val="26"/>
              </w:rPr>
              <w:t>Contextes d’usage principaux</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6E916F" w14:textId="77777777" w:rsidR="006A0A0A" w:rsidRDefault="006A0A0A">
            <w:pPr>
              <w:pStyle w:val="p3"/>
              <w:spacing w:before="0" w:beforeAutospacing="0" w:after="0" w:afterAutospacing="0"/>
              <w:rPr>
                <w:color w:val="000000"/>
                <w:sz w:val="26"/>
                <w:szCs w:val="26"/>
              </w:rPr>
            </w:pPr>
            <w:r>
              <w:rPr>
                <w:rStyle w:val="s3"/>
                <w:rFonts w:ascii="UICTFontTextStyleEmphasizedBody" w:hAnsi="UICTFontTextStyleEmphasizedBody"/>
                <w:b/>
                <w:bCs/>
                <w:color w:val="000000"/>
                <w:sz w:val="26"/>
                <w:szCs w:val="26"/>
              </w:rPr>
              <w:t>Méthode exigée</w:t>
            </w:r>
          </w:p>
        </w:tc>
      </w:tr>
      <w:tr w:rsidR="006A0A0A" w14:paraId="62D22FCE"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D6237BB" w14:textId="77777777" w:rsidR="006A0A0A" w:rsidRDefault="006A0A0A">
            <w:pPr>
              <w:pStyle w:val="p3"/>
              <w:spacing w:before="0" w:beforeAutospacing="0" w:after="0" w:afterAutospacing="0"/>
              <w:rPr>
                <w:color w:val="000000"/>
                <w:sz w:val="26"/>
                <w:szCs w:val="26"/>
              </w:rPr>
            </w:pPr>
            <w:r>
              <w:rPr>
                <w:rStyle w:val="s4"/>
                <w:color w:val="000000"/>
                <w:sz w:val="26"/>
                <w:szCs w:val="26"/>
              </w:rPr>
              <w:t>France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00CE55" w14:textId="77777777" w:rsidR="006A0A0A" w:rsidRDefault="006A0A0A">
            <w:pPr>
              <w:pStyle w:val="p3"/>
              <w:spacing w:before="0" w:beforeAutospacing="0" w:after="0" w:afterAutospacing="0"/>
              <w:rPr>
                <w:color w:val="000000"/>
                <w:sz w:val="26"/>
                <w:szCs w:val="26"/>
              </w:rPr>
            </w:pPr>
            <w:r>
              <w:rPr>
                <w:rStyle w:val="s4"/>
                <w:color w:val="000000"/>
                <w:sz w:val="26"/>
                <w:szCs w:val="26"/>
              </w:rPr>
              <w:t>≥ 2,0 % (souvent &gt; 2,5 % en permis)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F88512" w14:textId="77777777" w:rsidR="006A0A0A" w:rsidRDefault="006A0A0A">
            <w:pPr>
              <w:pStyle w:val="p3"/>
              <w:spacing w:before="0" w:beforeAutospacing="0" w:after="0" w:afterAutospacing="0"/>
              <w:rPr>
                <w:color w:val="000000"/>
                <w:sz w:val="26"/>
                <w:szCs w:val="26"/>
              </w:rPr>
            </w:pPr>
            <w:r>
              <w:rPr>
                <w:rStyle w:val="s4"/>
                <w:color w:val="000000"/>
                <w:sz w:val="26"/>
                <w:szCs w:val="26"/>
              </w:rPr>
              <w:t>Permis de conduire (reconstitution), médecine du travail, expertise judiciaire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A15D67C" w14:textId="77777777" w:rsidR="006A0A0A" w:rsidRDefault="006A0A0A">
            <w:pPr>
              <w:pStyle w:val="p3"/>
              <w:spacing w:before="0" w:beforeAutospacing="0" w:after="0" w:afterAutospacing="0"/>
              <w:rPr>
                <w:color w:val="000000"/>
                <w:sz w:val="26"/>
                <w:szCs w:val="26"/>
              </w:rPr>
            </w:pPr>
            <w:r>
              <w:rPr>
                <w:rStyle w:val="s4"/>
                <w:color w:val="000000"/>
                <w:sz w:val="26"/>
                <w:szCs w:val="26"/>
              </w:rPr>
              <w:t>Méthode IFCC HPLC obligatoire</w:t>
            </w:r>
          </w:p>
        </w:tc>
      </w:tr>
      <w:tr w:rsidR="006A0A0A" w14:paraId="5FC46882"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480ED18" w14:textId="77777777" w:rsidR="006A0A0A" w:rsidRDefault="006A0A0A">
            <w:pPr>
              <w:pStyle w:val="p3"/>
              <w:spacing w:before="0" w:beforeAutospacing="0" w:after="0" w:afterAutospacing="0"/>
              <w:rPr>
                <w:color w:val="000000"/>
                <w:sz w:val="26"/>
                <w:szCs w:val="26"/>
              </w:rPr>
            </w:pPr>
            <w:r>
              <w:rPr>
                <w:rStyle w:val="s4"/>
                <w:color w:val="000000"/>
                <w:sz w:val="26"/>
                <w:szCs w:val="26"/>
              </w:rPr>
              <w:t>Allemagne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11483D7" w14:textId="77777777" w:rsidR="006A0A0A" w:rsidRDefault="006A0A0A">
            <w:pPr>
              <w:pStyle w:val="p3"/>
              <w:spacing w:before="0" w:beforeAutospacing="0" w:after="0" w:afterAutospacing="0"/>
              <w:rPr>
                <w:color w:val="000000"/>
                <w:sz w:val="26"/>
                <w:szCs w:val="26"/>
              </w:rPr>
            </w:pPr>
            <w:r>
              <w:rPr>
                <w:rStyle w:val="s4"/>
                <w:color w:val="000000"/>
                <w:sz w:val="26"/>
                <w:szCs w:val="26"/>
              </w:rPr>
              <w:t>≥ 1,6 % (juridique 2,6 %)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12ABF2" w14:textId="77777777" w:rsidR="006A0A0A" w:rsidRDefault="006A0A0A">
            <w:pPr>
              <w:pStyle w:val="p3"/>
              <w:spacing w:before="0" w:beforeAutospacing="0" w:after="0" w:afterAutospacing="0"/>
              <w:rPr>
                <w:color w:val="000000"/>
                <w:sz w:val="26"/>
                <w:szCs w:val="26"/>
              </w:rPr>
            </w:pPr>
            <w:r>
              <w:rPr>
                <w:rStyle w:val="s4"/>
                <w:color w:val="000000"/>
                <w:sz w:val="26"/>
                <w:szCs w:val="26"/>
              </w:rPr>
              <w:t>Permis (MPU), aviation, armée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65B186A" w14:textId="77777777" w:rsidR="006A0A0A" w:rsidRDefault="006A0A0A">
            <w:pPr>
              <w:pStyle w:val="p3"/>
              <w:spacing w:before="0" w:beforeAutospacing="0" w:after="0" w:afterAutospacing="0"/>
              <w:rPr>
                <w:color w:val="000000"/>
                <w:sz w:val="26"/>
                <w:szCs w:val="26"/>
              </w:rPr>
            </w:pPr>
            <w:r>
              <w:rPr>
                <w:rStyle w:val="s4"/>
                <w:color w:val="000000"/>
                <w:sz w:val="26"/>
                <w:szCs w:val="26"/>
              </w:rPr>
              <w:t>IFCC obligatoire</w:t>
            </w:r>
          </w:p>
        </w:tc>
      </w:tr>
      <w:tr w:rsidR="006A0A0A" w14:paraId="4A0DBC2E"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CEA2071" w14:textId="77777777" w:rsidR="006A0A0A" w:rsidRDefault="006A0A0A">
            <w:pPr>
              <w:pStyle w:val="p3"/>
              <w:spacing w:before="0" w:beforeAutospacing="0" w:after="0" w:afterAutospacing="0"/>
              <w:rPr>
                <w:color w:val="000000"/>
                <w:sz w:val="26"/>
                <w:szCs w:val="26"/>
              </w:rPr>
            </w:pPr>
            <w:r>
              <w:rPr>
                <w:rStyle w:val="s4"/>
                <w:color w:val="000000"/>
                <w:sz w:val="26"/>
                <w:szCs w:val="26"/>
              </w:rPr>
              <w:t>Belgique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CEB4108" w14:textId="77777777" w:rsidR="006A0A0A" w:rsidRDefault="006A0A0A">
            <w:pPr>
              <w:pStyle w:val="p3"/>
              <w:spacing w:before="0" w:beforeAutospacing="0" w:after="0" w:afterAutospacing="0"/>
              <w:rPr>
                <w:color w:val="000000"/>
                <w:sz w:val="26"/>
                <w:szCs w:val="26"/>
              </w:rPr>
            </w:pPr>
            <w:r>
              <w:rPr>
                <w:rStyle w:val="s4"/>
                <w:color w:val="000000"/>
                <w:sz w:val="26"/>
                <w:szCs w:val="26"/>
              </w:rPr>
              <w:t>≥ 1,7–2,0 %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82A894D" w14:textId="77777777" w:rsidR="006A0A0A" w:rsidRDefault="006A0A0A">
            <w:pPr>
              <w:pStyle w:val="p3"/>
              <w:spacing w:before="0" w:beforeAutospacing="0" w:after="0" w:afterAutospacing="0"/>
              <w:rPr>
                <w:color w:val="000000"/>
                <w:sz w:val="26"/>
                <w:szCs w:val="26"/>
              </w:rPr>
            </w:pPr>
            <w:r>
              <w:rPr>
                <w:rStyle w:val="s4"/>
                <w:color w:val="000000"/>
                <w:sz w:val="26"/>
                <w:szCs w:val="26"/>
              </w:rPr>
              <w:t>Médecine du travail, permis, assurances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E22E0E" w14:textId="77777777" w:rsidR="006A0A0A" w:rsidRDefault="006A0A0A">
            <w:pPr>
              <w:pStyle w:val="p3"/>
              <w:spacing w:before="0" w:beforeAutospacing="0" w:after="0" w:afterAutospacing="0"/>
              <w:rPr>
                <w:color w:val="000000"/>
                <w:sz w:val="26"/>
                <w:szCs w:val="26"/>
              </w:rPr>
            </w:pPr>
            <w:r>
              <w:rPr>
                <w:rStyle w:val="s4"/>
                <w:color w:val="000000"/>
                <w:sz w:val="26"/>
                <w:szCs w:val="26"/>
              </w:rPr>
              <w:t>IFCC obligatoire</w:t>
            </w:r>
          </w:p>
        </w:tc>
      </w:tr>
      <w:tr w:rsidR="006A0A0A" w14:paraId="20D16F3E"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BF91C89" w14:textId="77777777" w:rsidR="006A0A0A" w:rsidRDefault="006A0A0A">
            <w:pPr>
              <w:pStyle w:val="p3"/>
              <w:spacing w:before="0" w:beforeAutospacing="0" w:after="0" w:afterAutospacing="0"/>
              <w:rPr>
                <w:color w:val="000000"/>
                <w:sz w:val="26"/>
                <w:szCs w:val="26"/>
              </w:rPr>
            </w:pPr>
            <w:r>
              <w:rPr>
                <w:rStyle w:val="s4"/>
                <w:color w:val="000000"/>
                <w:sz w:val="26"/>
                <w:szCs w:val="26"/>
              </w:rPr>
              <w:t>Suisse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EC875DB" w14:textId="77777777" w:rsidR="006A0A0A" w:rsidRDefault="006A0A0A">
            <w:pPr>
              <w:pStyle w:val="p3"/>
              <w:spacing w:before="0" w:beforeAutospacing="0" w:after="0" w:afterAutospacing="0"/>
              <w:rPr>
                <w:color w:val="000000"/>
                <w:sz w:val="26"/>
                <w:szCs w:val="26"/>
              </w:rPr>
            </w:pPr>
            <w:r>
              <w:rPr>
                <w:rStyle w:val="s4"/>
                <w:color w:val="000000"/>
                <w:sz w:val="26"/>
                <w:szCs w:val="26"/>
              </w:rPr>
              <w:t>≥ 2,0 % (2,6 % en permis)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5E3458" w14:textId="77777777" w:rsidR="006A0A0A" w:rsidRDefault="006A0A0A">
            <w:pPr>
              <w:pStyle w:val="p3"/>
              <w:spacing w:before="0" w:beforeAutospacing="0" w:after="0" w:afterAutospacing="0"/>
              <w:rPr>
                <w:color w:val="000000"/>
                <w:sz w:val="26"/>
                <w:szCs w:val="26"/>
              </w:rPr>
            </w:pPr>
            <w:r>
              <w:rPr>
                <w:rStyle w:val="s4"/>
                <w:color w:val="000000"/>
                <w:sz w:val="26"/>
                <w:szCs w:val="26"/>
              </w:rPr>
              <w:t>Permis, aviation, armée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80AC919" w14:textId="77777777" w:rsidR="006A0A0A" w:rsidRDefault="006A0A0A">
            <w:pPr>
              <w:pStyle w:val="p3"/>
              <w:spacing w:before="0" w:beforeAutospacing="0" w:after="0" w:afterAutospacing="0"/>
              <w:rPr>
                <w:color w:val="000000"/>
                <w:sz w:val="26"/>
                <w:szCs w:val="26"/>
              </w:rPr>
            </w:pPr>
            <w:r>
              <w:rPr>
                <w:rStyle w:val="s4"/>
                <w:color w:val="000000"/>
                <w:sz w:val="26"/>
                <w:szCs w:val="26"/>
              </w:rPr>
              <w:t>IFCC obligatoire</w:t>
            </w:r>
          </w:p>
        </w:tc>
      </w:tr>
      <w:tr w:rsidR="006A0A0A" w14:paraId="40F285B9"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A568FB" w14:textId="77777777" w:rsidR="006A0A0A" w:rsidRDefault="006A0A0A">
            <w:pPr>
              <w:pStyle w:val="p3"/>
              <w:spacing w:before="0" w:beforeAutospacing="0" w:after="0" w:afterAutospacing="0"/>
              <w:rPr>
                <w:color w:val="000000"/>
                <w:sz w:val="26"/>
                <w:szCs w:val="26"/>
              </w:rPr>
            </w:pPr>
            <w:r>
              <w:rPr>
                <w:rStyle w:val="s4"/>
                <w:color w:val="000000"/>
                <w:sz w:val="26"/>
                <w:szCs w:val="26"/>
              </w:rPr>
              <w:lastRenderedPageBreak/>
              <w:t>Italie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B91549" w14:textId="77777777" w:rsidR="006A0A0A" w:rsidRDefault="006A0A0A">
            <w:pPr>
              <w:pStyle w:val="p3"/>
              <w:spacing w:before="0" w:beforeAutospacing="0" w:after="0" w:afterAutospacing="0"/>
              <w:rPr>
                <w:color w:val="000000"/>
                <w:sz w:val="26"/>
                <w:szCs w:val="26"/>
              </w:rPr>
            </w:pPr>
            <w:r>
              <w:rPr>
                <w:rStyle w:val="s4"/>
                <w:color w:val="000000"/>
                <w:sz w:val="26"/>
                <w:szCs w:val="26"/>
              </w:rPr>
              <w:t>≥ 1,7–2,0 %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07282E2" w14:textId="77777777" w:rsidR="006A0A0A" w:rsidRDefault="006A0A0A">
            <w:pPr>
              <w:pStyle w:val="p3"/>
              <w:spacing w:before="0" w:beforeAutospacing="0" w:after="0" w:afterAutospacing="0"/>
              <w:rPr>
                <w:color w:val="000000"/>
                <w:sz w:val="26"/>
                <w:szCs w:val="26"/>
              </w:rPr>
            </w:pPr>
            <w:r>
              <w:rPr>
                <w:rStyle w:val="s4"/>
                <w:color w:val="000000"/>
                <w:sz w:val="26"/>
                <w:szCs w:val="26"/>
              </w:rPr>
              <w:t>Médecine légale, concours publics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414118F" w14:textId="77777777" w:rsidR="006A0A0A" w:rsidRDefault="006A0A0A">
            <w:pPr>
              <w:pStyle w:val="p3"/>
              <w:spacing w:before="0" w:beforeAutospacing="0" w:after="0" w:afterAutospacing="0"/>
              <w:rPr>
                <w:color w:val="000000"/>
                <w:sz w:val="26"/>
                <w:szCs w:val="26"/>
              </w:rPr>
            </w:pPr>
            <w:r>
              <w:rPr>
                <w:rStyle w:val="s4"/>
                <w:color w:val="000000"/>
                <w:sz w:val="26"/>
                <w:szCs w:val="26"/>
              </w:rPr>
              <w:t>IFCC recommandée (parfois retard technique)</w:t>
            </w:r>
          </w:p>
        </w:tc>
      </w:tr>
      <w:tr w:rsidR="006A0A0A" w14:paraId="27CA543D"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300DDE7" w14:textId="77777777" w:rsidR="006A0A0A" w:rsidRDefault="006A0A0A">
            <w:pPr>
              <w:pStyle w:val="p3"/>
              <w:spacing w:before="0" w:beforeAutospacing="0" w:after="0" w:afterAutospacing="0"/>
              <w:rPr>
                <w:color w:val="000000"/>
                <w:sz w:val="26"/>
                <w:szCs w:val="26"/>
              </w:rPr>
            </w:pPr>
            <w:r>
              <w:rPr>
                <w:rStyle w:val="s4"/>
                <w:color w:val="000000"/>
                <w:sz w:val="26"/>
                <w:szCs w:val="26"/>
              </w:rPr>
              <w:t>Espagne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34DBCA3" w14:textId="77777777" w:rsidR="006A0A0A" w:rsidRDefault="006A0A0A">
            <w:pPr>
              <w:pStyle w:val="p3"/>
              <w:spacing w:before="0" w:beforeAutospacing="0" w:after="0" w:afterAutospacing="0"/>
              <w:rPr>
                <w:color w:val="000000"/>
                <w:sz w:val="26"/>
                <w:szCs w:val="26"/>
              </w:rPr>
            </w:pPr>
            <w:r>
              <w:rPr>
                <w:rStyle w:val="s4"/>
                <w:color w:val="000000"/>
                <w:sz w:val="26"/>
                <w:szCs w:val="26"/>
              </w:rPr>
              <w:t>≥ 2,0 %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4A8B44" w14:textId="77777777" w:rsidR="006A0A0A" w:rsidRDefault="006A0A0A">
            <w:pPr>
              <w:pStyle w:val="p3"/>
              <w:spacing w:before="0" w:beforeAutospacing="0" w:after="0" w:afterAutospacing="0"/>
              <w:rPr>
                <w:color w:val="000000"/>
                <w:sz w:val="26"/>
                <w:szCs w:val="26"/>
              </w:rPr>
            </w:pPr>
            <w:r>
              <w:rPr>
                <w:rStyle w:val="s4"/>
                <w:color w:val="000000"/>
                <w:sz w:val="26"/>
                <w:szCs w:val="26"/>
              </w:rPr>
              <w:t>Permis de conduire (pertes), arbitrage sportif</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ECD5F34" w14:textId="77777777" w:rsidR="006A0A0A" w:rsidRDefault="006A0A0A">
            <w:pPr>
              <w:pStyle w:val="p3"/>
              <w:spacing w:before="0" w:beforeAutospacing="0" w:after="0" w:afterAutospacing="0"/>
              <w:rPr>
                <w:color w:val="000000"/>
                <w:sz w:val="26"/>
                <w:szCs w:val="26"/>
              </w:rPr>
            </w:pPr>
            <w:r>
              <w:rPr>
                <w:rStyle w:val="s4"/>
                <w:color w:val="000000"/>
                <w:sz w:val="26"/>
                <w:szCs w:val="26"/>
              </w:rPr>
              <w:t>IFCC standard</w:t>
            </w:r>
          </w:p>
        </w:tc>
      </w:tr>
      <w:tr w:rsidR="006A0A0A" w14:paraId="28B506CB"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0E75DD" w14:textId="77777777" w:rsidR="006A0A0A" w:rsidRDefault="006A0A0A">
            <w:pPr>
              <w:pStyle w:val="p3"/>
              <w:spacing w:before="0" w:beforeAutospacing="0" w:after="0" w:afterAutospacing="0"/>
              <w:rPr>
                <w:color w:val="000000"/>
                <w:sz w:val="26"/>
                <w:szCs w:val="26"/>
              </w:rPr>
            </w:pPr>
            <w:r>
              <w:rPr>
                <w:rStyle w:val="s4"/>
                <w:color w:val="000000"/>
                <w:sz w:val="26"/>
                <w:szCs w:val="26"/>
              </w:rPr>
              <w:t>Pays-Bas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CC609F" w14:textId="77777777" w:rsidR="006A0A0A" w:rsidRDefault="006A0A0A">
            <w:pPr>
              <w:pStyle w:val="p3"/>
              <w:spacing w:before="0" w:beforeAutospacing="0" w:after="0" w:afterAutospacing="0"/>
              <w:rPr>
                <w:color w:val="000000"/>
                <w:sz w:val="26"/>
                <w:szCs w:val="26"/>
              </w:rPr>
            </w:pPr>
            <w:r>
              <w:rPr>
                <w:rStyle w:val="s4"/>
                <w:color w:val="000000"/>
                <w:sz w:val="26"/>
                <w:szCs w:val="26"/>
              </w:rPr>
              <w:t>≥ 1,7 %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4A39C97" w14:textId="77777777" w:rsidR="006A0A0A" w:rsidRDefault="006A0A0A">
            <w:pPr>
              <w:pStyle w:val="p3"/>
              <w:spacing w:before="0" w:beforeAutospacing="0" w:after="0" w:afterAutospacing="0"/>
              <w:rPr>
                <w:color w:val="000000"/>
                <w:sz w:val="26"/>
                <w:szCs w:val="26"/>
              </w:rPr>
            </w:pPr>
            <w:r>
              <w:rPr>
                <w:rStyle w:val="s4"/>
                <w:color w:val="000000"/>
                <w:sz w:val="26"/>
                <w:szCs w:val="26"/>
              </w:rPr>
              <w:t>Aviation, armée, contrôles professionnels</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3BB04D4" w14:textId="77777777" w:rsidR="006A0A0A" w:rsidRDefault="006A0A0A">
            <w:pPr>
              <w:pStyle w:val="p3"/>
              <w:spacing w:before="0" w:beforeAutospacing="0" w:after="0" w:afterAutospacing="0"/>
              <w:rPr>
                <w:color w:val="000000"/>
                <w:sz w:val="26"/>
                <w:szCs w:val="26"/>
              </w:rPr>
            </w:pPr>
            <w:r>
              <w:rPr>
                <w:rStyle w:val="s4"/>
                <w:color w:val="000000"/>
                <w:sz w:val="26"/>
                <w:szCs w:val="26"/>
              </w:rPr>
              <w:t>IFCC stricte</w:t>
            </w:r>
          </w:p>
        </w:tc>
      </w:tr>
      <w:tr w:rsidR="006A0A0A" w14:paraId="6A6409AF"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3D2620D" w14:textId="77777777" w:rsidR="006A0A0A" w:rsidRDefault="006A0A0A">
            <w:pPr>
              <w:pStyle w:val="p3"/>
              <w:spacing w:before="0" w:beforeAutospacing="0" w:after="0" w:afterAutospacing="0"/>
              <w:rPr>
                <w:color w:val="000000"/>
                <w:sz w:val="26"/>
                <w:szCs w:val="26"/>
              </w:rPr>
            </w:pPr>
            <w:r>
              <w:rPr>
                <w:rStyle w:val="s4"/>
                <w:color w:val="000000"/>
                <w:sz w:val="26"/>
                <w:szCs w:val="26"/>
              </w:rPr>
              <w:t>Pays nordiques (Suède, Norvège, Finlande)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908716C" w14:textId="77777777" w:rsidR="006A0A0A" w:rsidRDefault="006A0A0A">
            <w:pPr>
              <w:pStyle w:val="p3"/>
              <w:spacing w:before="0" w:beforeAutospacing="0" w:after="0" w:afterAutospacing="0"/>
              <w:rPr>
                <w:color w:val="000000"/>
                <w:sz w:val="26"/>
                <w:szCs w:val="26"/>
              </w:rPr>
            </w:pPr>
            <w:r>
              <w:rPr>
                <w:rStyle w:val="s4"/>
                <w:color w:val="000000"/>
                <w:sz w:val="26"/>
                <w:szCs w:val="26"/>
              </w:rPr>
              <w:t>≥ 1,7 %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3F4413B" w14:textId="77777777" w:rsidR="006A0A0A" w:rsidRDefault="006A0A0A">
            <w:pPr>
              <w:pStyle w:val="p3"/>
              <w:spacing w:before="0" w:beforeAutospacing="0" w:after="0" w:afterAutospacing="0"/>
              <w:rPr>
                <w:color w:val="000000"/>
                <w:sz w:val="26"/>
                <w:szCs w:val="26"/>
              </w:rPr>
            </w:pPr>
            <w:r>
              <w:rPr>
                <w:rStyle w:val="s4"/>
                <w:color w:val="000000"/>
                <w:sz w:val="26"/>
                <w:szCs w:val="26"/>
              </w:rPr>
              <w:t>Santé au travail, aviation, justice</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C775E28" w14:textId="77777777" w:rsidR="006A0A0A" w:rsidRDefault="006A0A0A">
            <w:pPr>
              <w:pStyle w:val="p3"/>
              <w:spacing w:before="0" w:beforeAutospacing="0" w:after="0" w:afterAutospacing="0"/>
              <w:rPr>
                <w:color w:val="000000"/>
                <w:sz w:val="26"/>
                <w:szCs w:val="26"/>
              </w:rPr>
            </w:pPr>
            <w:r>
              <w:rPr>
                <w:rStyle w:val="s4"/>
                <w:color w:val="000000"/>
                <w:sz w:val="26"/>
                <w:szCs w:val="26"/>
              </w:rPr>
              <w:t>IFCC stricte</w:t>
            </w:r>
          </w:p>
        </w:tc>
      </w:tr>
      <w:tr w:rsidR="006A0A0A" w14:paraId="029FADD5"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AD460A8" w14:textId="77777777" w:rsidR="006A0A0A" w:rsidRDefault="006A0A0A">
            <w:pPr>
              <w:pStyle w:val="p3"/>
              <w:spacing w:before="0" w:beforeAutospacing="0" w:after="0" w:afterAutospacing="0"/>
              <w:rPr>
                <w:color w:val="000000"/>
                <w:sz w:val="26"/>
                <w:szCs w:val="26"/>
              </w:rPr>
            </w:pPr>
            <w:r>
              <w:rPr>
                <w:rStyle w:val="s4"/>
                <w:color w:val="000000"/>
                <w:sz w:val="26"/>
                <w:szCs w:val="26"/>
              </w:rPr>
              <w:t>Royaume-Uni (post-Brexit)</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08CDDF4" w14:textId="77777777" w:rsidR="006A0A0A" w:rsidRDefault="006A0A0A">
            <w:pPr>
              <w:pStyle w:val="p3"/>
              <w:spacing w:before="0" w:beforeAutospacing="0" w:after="0" w:afterAutospacing="0"/>
              <w:rPr>
                <w:color w:val="000000"/>
                <w:sz w:val="26"/>
                <w:szCs w:val="26"/>
              </w:rPr>
            </w:pPr>
            <w:r>
              <w:rPr>
                <w:rStyle w:val="s4"/>
                <w:color w:val="000000"/>
                <w:sz w:val="26"/>
                <w:szCs w:val="26"/>
              </w:rPr>
              <w:t>≥ 2,0 %</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72BBA13" w14:textId="77777777" w:rsidR="006A0A0A" w:rsidRDefault="006A0A0A">
            <w:pPr>
              <w:rPr>
                <w:color w:val="000000"/>
                <w:sz w:val="26"/>
                <w:szCs w:val="26"/>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38E3BFB" w14:textId="77777777" w:rsidR="006A0A0A" w:rsidRDefault="006A0A0A">
            <w:pPr>
              <w:rPr>
                <w:rFonts w:ascii="Times New Roman" w:eastAsia="Times New Roman" w:hAnsi="Times New Roman" w:cs="Times New Roman"/>
                <w:sz w:val="20"/>
                <w:szCs w:val="20"/>
              </w:rPr>
            </w:pPr>
          </w:p>
        </w:tc>
      </w:tr>
    </w:tbl>
    <w:p w14:paraId="42DC66D9" w14:textId="77777777" w:rsidR="006A0A0A" w:rsidRPr="00E71826" w:rsidRDefault="006A0A0A" w:rsidP="0059331D">
      <w:pPr>
        <w:pStyle w:val="p2"/>
        <w:numPr>
          <w:ilvl w:val="0"/>
          <w:numId w:val="26"/>
        </w:numPr>
        <w:spacing w:before="0" w:beforeAutospacing="0" w:after="0" w:afterAutospacing="0"/>
        <w:rPr>
          <w:sz w:val="24"/>
          <w:szCs w:val="24"/>
        </w:rPr>
      </w:pPr>
      <w:r w:rsidRPr="00E71826">
        <w:rPr>
          <w:rStyle w:val="s2"/>
          <w:rFonts w:ascii="UICTFontTextStyleEmphasizedBody" w:hAnsi="UICTFontTextStyleEmphasizedBody"/>
        </w:rPr>
        <w:t>La méthode IFCC (HPLC ou CE standardisée) est désormais quasi obligatoire partout en Europe.</w:t>
      </w:r>
    </w:p>
    <w:p w14:paraId="1C625B98" w14:textId="4D4BCE04" w:rsidR="006A0A0A" w:rsidRPr="00E71826" w:rsidRDefault="006A0A0A" w:rsidP="0059331D">
      <w:pPr>
        <w:pStyle w:val="p2"/>
        <w:numPr>
          <w:ilvl w:val="0"/>
          <w:numId w:val="26"/>
        </w:numPr>
        <w:spacing w:before="0" w:beforeAutospacing="0" w:after="0" w:afterAutospacing="0"/>
      </w:pPr>
      <w:r w:rsidRPr="00E71826">
        <w:rPr>
          <w:rStyle w:val="s2"/>
          <w:rFonts w:ascii="UICTFontTextStyleEmphasizedBody" w:hAnsi="UICTFontTextStyleEmphasizedBody"/>
        </w:rPr>
        <w:t>Le seuil “positif” médical/scientifique est 1,7 % – 2,0 %.</w:t>
      </w:r>
      <w:r w:rsidR="0059331D">
        <w:rPr>
          <w:rStyle w:val="s2"/>
          <w:rFonts w:ascii="UICTFontTextStyleEmphasizedBody" w:hAnsi="UICTFontTextStyleEmphasizedBody"/>
        </w:rPr>
        <w:t xml:space="preserve"> Les chiffres retenus par les laboratoires d’analyse varient néanmoins sur le taux de 1,7% </w:t>
      </w:r>
      <w:r w:rsidR="002200A9">
        <w:rPr>
          <w:rStyle w:val="s2"/>
          <w:rFonts w:ascii="UICTFontTextStyleEmphasizedBody" w:hAnsi="UICTFontTextStyleEmphasizedBody"/>
        </w:rPr>
        <w:t>: «</w:t>
      </w:r>
      <w:r w:rsidR="0059331D">
        <w:rPr>
          <w:rStyle w:val="s2"/>
          <w:rFonts w:ascii="UICTFontTextStyleEmphasizedBody" w:hAnsi="UICTFontTextStyleEmphasizedBody"/>
        </w:rPr>
        <w:t> non significatif » ou « normal »</w:t>
      </w:r>
    </w:p>
    <w:p w14:paraId="06670526" w14:textId="77777777" w:rsidR="006A0A0A" w:rsidRPr="00E71826" w:rsidRDefault="006A0A0A" w:rsidP="0059331D">
      <w:pPr>
        <w:pStyle w:val="p1"/>
        <w:numPr>
          <w:ilvl w:val="0"/>
          <w:numId w:val="26"/>
        </w:numPr>
        <w:spacing w:before="0" w:beforeAutospacing="0" w:after="0" w:afterAutospacing="0"/>
      </w:pPr>
      <w:r w:rsidRPr="00E71826">
        <w:rPr>
          <w:rStyle w:val="s2"/>
          <w:rFonts w:ascii="UICTFontTextStyleEmphasizedBody" w:hAnsi="UICTFontTextStyleEmphasizedBody"/>
        </w:rPr>
        <w:t>Toute l’Europe de l’Ouest et du Nord → harmonisation quasi totale sur 1,7–2,0 % (IFCC).</w:t>
      </w:r>
    </w:p>
    <w:p w14:paraId="393D492A" w14:textId="46D1CF7A" w:rsidR="006A0A0A" w:rsidRDefault="006A0A0A" w:rsidP="0059331D">
      <w:pPr>
        <w:pStyle w:val="p2"/>
        <w:numPr>
          <w:ilvl w:val="0"/>
          <w:numId w:val="26"/>
        </w:numPr>
        <w:spacing w:before="0" w:beforeAutospacing="0" w:after="0" w:afterAutospacing="0"/>
      </w:pPr>
      <w:r>
        <w:rPr>
          <w:rStyle w:val="s2"/>
          <w:rFonts w:ascii="UICTFontTextStyleEmphasizedBody" w:hAnsi="UICTFontTextStyleEmphasizedBody"/>
        </w:rPr>
        <w:t xml:space="preserve">Seuil administratif souvent plus haut (2,5–2,6 %) pour réduire les litiges. </w:t>
      </w:r>
      <w:r>
        <w:rPr>
          <w:rStyle w:val="s2"/>
          <w:rFonts w:ascii="UICTFontTextStyleEmphasizedBody" w:hAnsi="UICTFontTextStyleEmphasizedBody"/>
          <w:b/>
          <w:bCs/>
        </w:rPr>
        <w:t>À vérifier </w:t>
      </w:r>
    </w:p>
    <w:p w14:paraId="7F2C993C" w14:textId="77777777" w:rsidR="006A0A0A" w:rsidRDefault="006A0A0A" w:rsidP="0059331D">
      <w:pPr>
        <w:pStyle w:val="p2"/>
        <w:spacing w:before="0" w:beforeAutospacing="0" w:after="0" w:afterAutospacing="0"/>
        <w:ind w:left="360"/>
      </w:pPr>
    </w:p>
    <w:p w14:paraId="6CFF8FDA" w14:textId="4009BE0B" w:rsidR="006A0A0A" w:rsidRPr="00E71826" w:rsidRDefault="006A0A0A" w:rsidP="0059331D">
      <w:pPr>
        <w:pStyle w:val="p2"/>
        <w:numPr>
          <w:ilvl w:val="0"/>
          <w:numId w:val="26"/>
        </w:numPr>
        <w:spacing w:before="0" w:beforeAutospacing="0" w:after="0" w:afterAutospacing="0"/>
        <w:rPr>
          <w:rFonts w:ascii="Arial" w:hAnsi="Arial" w:cs="Arial"/>
        </w:rPr>
      </w:pPr>
      <w:r w:rsidRPr="00E71826">
        <w:rPr>
          <w:rStyle w:val="s2"/>
          <w:rFonts w:ascii="Arial" w:hAnsi="Arial" w:cs="Arial"/>
        </w:rPr>
        <w:t>Europe de l’Est/Balkans → adoption plus lente mais en cours d’uniformisation.</w:t>
      </w:r>
    </w:p>
    <w:p w14:paraId="2F7B786A" w14:textId="6DD6B393" w:rsidR="006A0A0A" w:rsidRPr="0059331D" w:rsidRDefault="006A0A0A" w:rsidP="0059331D">
      <w:pPr>
        <w:pStyle w:val="p2"/>
        <w:numPr>
          <w:ilvl w:val="0"/>
          <w:numId w:val="26"/>
        </w:numPr>
        <w:spacing w:before="0" w:beforeAutospacing="0" w:after="0" w:afterAutospacing="0"/>
        <w:rPr>
          <w:rFonts w:ascii="Arial" w:hAnsi="Arial" w:cs="Arial"/>
        </w:rPr>
      </w:pPr>
      <w:r w:rsidRPr="00E71826">
        <w:rPr>
          <w:rStyle w:val="s2"/>
          <w:rFonts w:ascii="Arial" w:hAnsi="Arial" w:cs="Arial"/>
        </w:rPr>
        <w:t>Le CDT reste le biomarqueur le plus utilisé légalement dans le cadre alcool / permis.</w:t>
      </w:r>
    </w:p>
    <w:p w14:paraId="2EC73BD9" w14:textId="0AB8ECC4" w:rsidR="006A0A0A" w:rsidRPr="006A0A0A" w:rsidRDefault="006A0A0A" w:rsidP="0059331D">
      <w:pPr>
        <w:pStyle w:val="Paragraphedeliste"/>
        <w:numPr>
          <w:ilvl w:val="0"/>
          <w:numId w:val="26"/>
        </w:numPr>
        <w:rPr>
          <w:rFonts w:eastAsia="Times New Roman"/>
        </w:rPr>
      </w:pPr>
      <w:r w:rsidRPr="006A0A0A">
        <w:rPr>
          <w:rFonts w:eastAsia="Times New Roman"/>
        </w:rPr>
        <w:t xml:space="preserve">Les </w:t>
      </w:r>
      <w:r w:rsidR="00E71826" w:rsidRPr="006A0A0A">
        <w:rPr>
          <w:rFonts w:eastAsia="Times New Roman"/>
        </w:rPr>
        <w:t>Anglais</w:t>
      </w:r>
      <w:r w:rsidRPr="006A0A0A">
        <w:rPr>
          <w:rFonts w:eastAsia="Times New Roman"/>
        </w:rPr>
        <w:t xml:space="preserve"> ont une norme de CDT variable : </w:t>
      </w:r>
    </w:p>
    <w:p w14:paraId="09113982" w14:textId="770F9501" w:rsidR="006A0A0A" w:rsidRDefault="006A0A0A" w:rsidP="0059331D">
      <w:pPr>
        <w:pStyle w:val="Paragraphedeliste"/>
        <w:ind w:left="1440"/>
        <w:rPr>
          <w:rFonts w:eastAsia="Times New Roman"/>
        </w:rPr>
      </w:pPr>
      <w:r w:rsidRPr="00E71826">
        <w:rPr>
          <w:rFonts w:eastAsia="Times New Roman"/>
        </w:rPr>
        <w:t>1,6 % pour les récidiviste</w:t>
      </w:r>
      <w:r w:rsidR="00E71826">
        <w:rPr>
          <w:rFonts w:eastAsia="Times New Roman"/>
        </w:rPr>
        <w:t>s</w:t>
      </w:r>
      <w:r w:rsidRPr="00E71826">
        <w:rPr>
          <w:rFonts w:eastAsia="Times New Roman"/>
        </w:rPr>
        <w:t xml:space="preserve"> mais 2,2 pour les primo infracteur</w:t>
      </w:r>
    </w:p>
    <w:p w14:paraId="6A5A338D" w14:textId="77777777" w:rsidR="00F90400" w:rsidRDefault="00F90400" w:rsidP="0059331D">
      <w:pPr>
        <w:pStyle w:val="Paragraphedeliste"/>
        <w:ind w:left="1440"/>
        <w:rPr>
          <w:rFonts w:eastAsia="Times New Roman"/>
        </w:rPr>
      </w:pPr>
    </w:p>
    <w:p w14:paraId="7F6B5FF5" w14:textId="09262706" w:rsidR="00F90400" w:rsidRPr="004A755F" w:rsidRDefault="00F90400" w:rsidP="00F90400">
      <w:pPr>
        <w:rPr>
          <w:rFonts w:ascii="Arial" w:eastAsia="Times New Roman" w:hAnsi="Arial" w:cs="Arial"/>
        </w:rPr>
      </w:pPr>
      <w:r w:rsidRPr="004A755F">
        <w:rPr>
          <w:rFonts w:ascii="Arial" w:eastAsia="Times New Roman" w:hAnsi="Arial" w:cs="Arial"/>
          <w:b/>
          <w:bCs/>
        </w:rPr>
        <w:t>Question </w:t>
      </w:r>
      <w:r w:rsidRPr="004A755F">
        <w:rPr>
          <w:rFonts w:ascii="Arial" w:eastAsia="Times New Roman" w:hAnsi="Arial" w:cs="Arial"/>
        </w:rPr>
        <w:t>:  La problématique qui nous arrive souvent est la suivante : </w:t>
      </w:r>
    </w:p>
    <w:p w14:paraId="2E542D7A" w14:textId="4846C692" w:rsidR="00F90400" w:rsidRPr="004A755F" w:rsidRDefault="00F90400" w:rsidP="00F90400">
      <w:pPr>
        <w:rPr>
          <w:rFonts w:ascii="Arial" w:eastAsia="Times New Roman" w:hAnsi="Arial" w:cs="Arial"/>
        </w:rPr>
      </w:pPr>
      <w:r w:rsidRPr="004A755F">
        <w:rPr>
          <w:rFonts w:ascii="Arial" w:eastAsia="Times New Roman" w:hAnsi="Arial" w:cs="Arial"/>
        </w:rPr>
        <w:t xml:space="preserve">Délivrons-nous une aptitude permanente dans le cas d’une </w:t>
      </w:r>
      <w:r w:rsidRPr="004A755F">
        <w:rPr>
          <w:rFonts w:ascii="Arial" w:eastAsia="Times New Roman" w:hAnsi="Arial" w:cs="Arial"/>
          <w:u w:val="single"/>
        </w:rPr>
        <w:t>dernière commission</w:t>
      </w:r>
      <w:r w:rsidR="004A755F">
        <w:rPr>
          <w:rFonts w:ascii="Arial" w:eastAsia="Times New Roman" w:hAnsi="Arial" w:cs="Arial"/>
          <w:u w:val="single"/>
        </w:rPr>
        <w:t xml:space="preserve"> </w:t>
      </w:r>
      <w:r w:rsidR="004A755F" w:rsidRPr="004A755F">
        <w:rPr>
          <w:rFonts w:ascii="Arial" w:eastAsia="Times New Roman" w:hAnsi="Arial" w:cs="Arial"/>
        </w:rPr>
        <w:t>(permis véhicules légers)</w:t>
      </w:r>
      <w:r w:rsidRPr="004A755F">
        <w:rPr>
          <w:rFonts w:ascii="Arial" w:eastAsia="Times New Roman" w:hAnsi="Arial" w:cs="Arial"/>
        </w:rPr>
        <w:t xml:space="preserve"> avec un taux à 1,7 % ? Les 2 attitudes sont défendables : les plu</w:t>
      </w:r>
      <w:r w:rsidRPr="004A755F">
        <w:rPr>
          <w:rFonts w:ascii="Arial" w:eastAsia="Times New Roman" w:hAnsi="Arial" w:cs="Arial"/>
          <w:u w:val="single"/>
        </w:rPr>
        <w:t>s</w:t>
      </w:r>
      <w:r w:rsidRPr="004A755F">
        <w:rPr>
          <w:rFonts w:ascii="Arial" w:eastAsia="Times New Roman" w:hAnsi="Arial" w:cs="Arial"/>
        </w:rPr>
        <w:t xml:space="preserve"> sévères redonnent </w:t>
      </w:r>
      <w:r w:rsidR="004A755F">
        <w:rPr>
          <w:rFonts w:ascii="Arial" w:eastAsia="Times New Roman" w:hAnsi="Arial" w:cs="Arial"/>
        </w:rPr>
        <w:t xml:space="preserve">6 mois à </w:t>
      </w:r>
      <w:r w:rsidRPr="004A755F">
        <w:rPr>
          <w:rFonts w:ascii="Arial" w:eastAsia="Times New Roman" w:hAnsi="Arial" w:cs="Arial"/>
        </w:rPr>
        <w:t>1 an</w:t>
      </w:r>
      <w:r w:rsidR="004A755F">
        <w:rPr>
          <w:rFonts w:ascii="Arial" w:eastAsia="Times New Roman" w:hAnsi="Arial" w:cs="Arial"/>
        </w:rPr>
        <w:t xml:space="preserve"> de validité avant une nouvelle visite</w:t>
      </w:r>
      <w:r w:rsidRPr="004A755F">
        <w:rPr>
          <w:rFonts w:ascii="Arial" w:eastAsia="Times New Roman" w:hAnsi="Arial" w:cs="Arial"/>
        </w:rPr>
        <w:t>, tandis que pour les autres c’est permanent. Décision au coup par cou</w:t>
      </w:r>
      <w:r w:rsidR="004A755F">
        <w:rPr>
          <w:rFonts w:ascii="Arial" w:eastAsia="Times New Roman" w:hAnsi="Arial" w:cs="Arial"/>
        </w:rPr>
        <w:t>p</w:t>
      </w:r>
      <w:r w:rsidRPr="004A755F">
        <w:rPr>
          <w:rFonts w:ascii="Arial" w:eastAsia="Times New Roman" w:hAnsi="Arial" w:cs="Arial"/>
        </w:rPr>
        <w:t xml:space="preserve"> avec prise en compte de la clinique (interrogatoire et examen physique) </w:t>
      </w:r>
    </w:p>
    <w:p w14:paraId="2888B611" w14:textId="77777777" w:rsidR="00F90400" w:rsidRDefault="00F90400" w:rsidP="00F90400">
      <w:pPr>
        <w:rPr>
          <w:rFonts w:eastAsia="Times New Roman"/>
        </w:rPr>
      </w:pPr>
    </w:p>
    <w:p w14:paraId="74D7F708" w14:textId="77777777" w:rsidR="006A0A0A" w:rsidRPr="006A0A0A" w:rsidRDefault="006A0A0A" w:rsidP="00E71826">
      <w:pPr>
        <w:pStyle w:val="Paragraphedeliste"/>
        <w:rPr>
          <w:rFonts w:eastAsia="Times New Roman"/>
        </w:rPr>
      </w:pPr>
    </w:p>
    <w:p w14:paraId="61EAD66D" w14:textId="77777777" w:rsidR="00D163B6" w:rsidRPr="0024068C" w:rsidRDefault="00D163B6" w:rsidP="00D163B6">
      <w:pPr>
        <w:rPr>
          <w:rFonts w:ascii="Arial" w:hAnsi="Arial" w:cs="Arial"/>
          <w:i/>
          <w:iCs/>
          <w:sz w:val="28"/>
          <w:szCs w:val="28"/>
          <w:lang w:eastAsia="fr-FR"/>
        </w:rPr>
      </w:pPr>
      <w:r w:rsidRPr="0024068C">
        <w:rPr>
          <w:rFonts w:ascii="Arial" w:hAnsi="Arial" w:cs="Arial"/>
          <w:b/>
          <w:bCs/>
          <w:i/>
          <w:iCs/>
          <w:sz w:val="28"/>
          <w:szCs w:val="28"/>
        </w:rPr>
        <w:t>En cas d’inaptitude déclarée en commission</w:t>
      </w:r>
      <w:r w:rsidRPr="0024068C">
        <w:rPr>
          <w:rFonts w:ascii="Arial" w:hAnsi="Arial" w:cs="Arial"/>
          <w:i/>
          <w:iCs/>
          <w:sz w:val="28"/>
          <w:szCs w:val="28"/>
        </w:rPr>
        <w:t xml:space="preserve"> : </w:t>
      </w:r>
    </w:p>
    <w:p w14:paraId="093100D9" w14:textId="29B9CDAB" w:rsidR="00D163B6" w:rsidRPr="00993890" w:rsidRDefault="00D163B6" w:rsidP="00D163B6">
      <w:pPr>
        <w:rPr>
          <w:rFonts w:ascii="Arial" w:hAnsi="Arial" w:cs="Arial"/>
          <w:lang w:eastAsia="fr-FR"/>
        </w:rPr>
      </w:pPr>
      <w:r w:rsidRPr="00D163B6">
        <w:rPr>
          <w:rFonts w:ascii="Arial" w:hAnsi="Arial" w:cs="Arial"/>
        </w:rPr>
        <w:t xml:space="preserve">Remise au conducteur </w:t>
      </w:r>
      <w:r w:rsidRPr="00993890">
        <w:rPr>
          <w:rFonts w:ascii="Arial" w:hAnsi="Arial" w:cs="Arial"/>
          <w:lang w:eastAsia="fr-FR"/>
        </w:rPr>
        <w:t>de l'avis médical</w:t>
      </w:r>
      <w:r w:rsidRPr="00D163B6">
        <w:rPr>
          <w:rFonts w:ascii="Arial" w:hAnsi="Arial" w:cs="Arial"/>
        </w:rPr>
        <w:t xml:space="preserve"> </w:t>
      </w:r>
      <w:r w:rsidR="003C1D4F">
        <w:rPr>
          <w:rFonts w:ascii="Arial" w:hAnsi="Arial" w:cs="Arial"/>
        </w:rPr>
        <w:t xml:space="preserve">d’inaptitude </w:t>
      </w:r>
      <w:r w:rsidR="00E72D10">
        <w:rPr>
          <w:rFonts w:ascii="Arial" w:hAnsi="Arial" w:cs="Arial"/>
        </w:rPr>
        <w:t xml:space="preserve">à l’issue de la consultation en commission médicale </w:t>
      </w:r>
      <w:r w:rsidRPr="00D163B6">
        <w:rPr>
          <w:rFonts w:ascii="Arial" w:hAnsi="Arial" w:cs="Arial"/>
        </w:rPr>
        <w:t xml:space="preserve">et transfert au </w:t>
      </w:r>
      <w:r w:rsidR="003C1D4F" w:rsidRPr="00D163B6">
        <w:rPr>
          <w:rFonts w:ascii="Arial" w:hAnsi="Arial" w:cs="Arial"/>
        </w:rPr>
        <w:t>préfet</w:t>
      </w:r>
      <w:r w:rsidRPr="00D163B6">
        <w:rPr>
          <w:rFonts w:ascii="Arial" w:hAnsi="Arial" w:cs="Arial"/>
        </w:rPr>
        <w:t xml:space="preserve"> du Cerfa rempli en commission. </w:t>
      </w:r>
      <w:r w:rsidRPr="00993890">
        <w:rPr>
          <w:rFonts w:ascii="Arial" w:hAnsi="Arial" w:cs="Arial"/>
          <w:lang w:eastAsia="fr-FR"/>
        </w:rPr>
        <w:t>Le préfet</w:t>
      </w:r>
      <w:r w:rsidRPr="00D163B6">
        <w:rPr>
          <w:rFonts w:ascii="Arial" w:hAnsi="Arial" w:cs="Arial"/>
        </w:rPr>
        <w:t xml:space="preserve"> contacte le conducteur pour recueillir ses</w:t>
      </w:r>
      <w:r w:rsidRPr="00993890">
        <w:rPr>
          <w:rFonts w:ascii="Arial" w:hAnsi="Arial" w:cs="Arial"/>
          <w:lang w:eastAsia="fr-FR"/>
        </w:rPr>
        <w:t xml:space="preserve"> observations.</w:t>
      </w:r>
    </w:p>
    <w:p w14:paraId="1457CB7F" w14:textId="5F59B002" w:rsidR="00D163B6" w:rsidRDefault="00D163B6" w:rsidP="00D163B6">
      <w:pPr>
        <w:rPr>
          <w:rFonts w:ascii="Arial" w:hAnsi="Arial" w:cs="Arial"/>
          <w:lang w:eastAsia="fr-FR"/>
        </w:rPr>
      </w:pPr>
      <w:r w:rsidRPr="00993890">
        <w:rPr>
          <w:rFonts w:ascii="Arial" w:hAnsi="Arial" w:cs="Arial"/>
          <w:lang w:eastAsia="fr-FR"/>
        </w:rPr>
        <w:t xml:space="preserve">À la fin du délai fixé pour recueillir vos observations, le </w:t>
      </w:r>
      <w:r w:rsidR="00E72D10" w:rsidRPr="00993890">
        <w:rPr>
          <w:rFonts w:ascii="Arial" w:hAnsi="Arial" w:cs="Arial"/>
          <w:lang w:eastAsia="fr-FR"/>
        </w:rPr>
        <w:t>préfet notifie</w:t>
      </w:r>
      <w:r w:rsidRPr="00993890">
        <w:rPr>
          <w:rFonts w:ascii="Arial" w:hAnsi="Arial" w:cs="Arial"/>
          <w:lang w:eastAsia="fr-FR"/>
        </w:rPr>
        <w:t xml:space="preserve"> </w:t>
      </w:r>
      <w:r w:rsidR="00E72D10">
        <w:rPr>
          <w:rFonts w:ascii="Arial" w:hAnsi="Arial" w:cs="Arial"/>
          <w:lang w:eastAsia="fr-FR"/>
        </w:rPr>
        <w:t xml:space="preserve">au conducteur </w:t>
      </w:r>
      <w:r w:rsidRPr="00993890">
        <w:rPr>
          <w:rFonts w:ascii="Arial" w:hAnsi="Arial" w:cs="Arial"/>
          <w:lang w:eastAsia="fr-FR"/>
        </w:rPr>
        <w:t>sa décision par lettre (aptitude temporaire, aptitude avec restrictions, inaptitude)</w:t>
      </w:r>
      <w:r w:rsidR="00E72D10">
        <w:rPr>
          <w:rFonts w:ascii="Arial" w:hAnsi="Arial" w:cs="Arial"/>
          <w:lang w:eastAsia="fr-FR"/>
        </w:rPr>
        <w:t xml:space="preserve">. Le </w:t>
      </w:r>
      <w:r w:rsidRPr="00D163B6">
        <w:rPr>
          <w:rFonts w:ascii="Arial" w:hAnsi="Arial" w:cs="Arial"/>
        </w:rPr>
        <w:t>conducteur peut</w:t>
      </w:r>
      <w:r w:rsidRPr="00993890">
        <w:rPr>
          <w:rFonts w:ascii="Arial" w:hAnsi="Arial" w:cs="Arial"/>
          <w:lang w:eastAsia="fr-FR"/>
        </w:rPr>
        <w:t xml:space="preserve"> </w:t>
      </w:r>
      <w:r w:rsidR="00510367">
        <w:rPr>
          <w:rFonts w:ascii="Arial" w:hAnsi="Arial" w:cs="Arial"/>
          <w:lang w:eastAsia="fr-FR"/>
        </w:rPr>
        <w:t xml:space="preserve">alors </w:t>
      </w:r>
      <w:r w:rsidRPr="00993890">
        <w:rPr>
          <w:rFonts w:ascii="Arial" w:hAnsi="Arial" w:cs="Arial"/>
          <w:lang w:eastAsia="fr-FR"/>
        </w:rPr>
        <w:t>saisir la commission médicale d'appel dans un délai de deux mois. Cet appel n'empêche pas la décision du préfet d'être exécutable.</w:t>
      </w:r>
      <w:r w:rsidRPr="00D163B6">
        <w:rPr>
          <w:rFonts w:ascii="Arial" w:hAnsi="Arial" w:cs="Arial"/>
        </w:rPr>
        <w:t xml:space="preserve"> </w:t>
      </w:r>
      <w:r w:rsidRPr="00993890">
        <w:rPr>
          <w:rFonts w:ascii="Arial" w:hAnsi="Arial" w:cs="Arial"/>
          <w:lang w:eastAsia="fr-FR"/>
        </w:rPr>
        <w:t xml:space="preserve">Après </w:t>
      </w:r>
      <w:r w:rsidRPr="00D163B6">
        <w:rPr>
          <w:rFonts w:ascii="Arial" w:hAnsi="Arial" w:cs="Arial"/>
        </w:rPr>
        <w:t>avoir examiné le conducteur</w:t>
      </w:r>
      <w:r w:rsidRPr="00993890">
        <w:rPr>
          <w:rFonts w:ascii="Arial" w:hAnsi="Arial" w:cs="Arial"/>
          <w:lang w:eastAsia="fr-FR"/>
        </w:rPr>
        <w:t xml:space="preserve">, la </w:t>
      </w:r>
      <w:r w:rsidRPr="00993890">
        <w:rPr>
          <w:rFonts w:ascii="Arial" w:hAnsi="Arial" w:cs="Arial"/>
          <w:lang w:eastAsia="fr-FR"/>
        </w:rPr>
        <w:lastRenderedPageBreak/>
        <w:t>commission d’appel peut entendre, si elle le juge nécessaire, le médecin agréé et elle transmet son avis au préfet.</w:t>
      </w:r>
    </w:p>
    <w:p w14:paraId="7C444D53" w14:textId="77777777" w:rsidR="003C1D4F" w:rsidRDefault="003C1D4F" w:rsidP="00D163B6">
      <w:pPr>
        <w:rPr>
          <w:rFonts w:ascii="Arial" w:hAnsi="Arial" w:cs="Arial"/>
          <w:lang w:eastAsia="fr-FR"/>
        </w:rPr>
      </w:pPr>
    </w:p>
    <w:p w14:paraId="772C6D25" w14:textId="77777777" w:rsidR="00B12CFE" w:rsidRPr="0024068C" w:rsidRDefault="00E72D10" w:rsidP="00E72D10">
      <w:pPr>
        <w:spacing w:before="100" w:beforeAutospacing="1" w:after="100" w:afterAutospacing="1" w:line="240" w:lineRule="auto"/>
        <w:rPr>
          <w:rFonts w:ascii="Arial" w:eastAsia="Times New Roman" w:hAnsi="Arial" w:cs="Arial"/>
          <w:b/>
          <w:bCs/>
          <w:lang w:eastAsia="fr-FR"/>
        </w:rPr>
      </w:pPr>
      <w:r w:rsidRPr="0024068C">
        <w:rPr>
          <w:rFonts w:ascii="Arial" w:eastAsia="Times New Roman" w:hAnsi="Arial" w:cs="Arial"/>
          <w:b/>
          <w:bCs/>
          <w:lang w:eastAsia="fr-FR"/>
        </w:rPr>
        <w:t xml:space="preserve">Texte législatif sur l’inaptitude : </w:t>
      </w:r>
    </w:p>
    <w:p w14:paraId="479DAFFA" w14:textId="69F5518B" w:rsidR="00E72D10" w:rsidRPr="009009FF" w:rsidRDefault="00E72D10" w:rsidP="004A755F">
      <w:pPr>
        <w:pStyle w:val="Paragraphedeliste"/>
        <w:numPr>
          <w:ilvl w:val="1"/>
          <w:numId w:val="13"/>
        </w:numPr>
        <w:spacing w:before="100" w:beforeAutospacing="1" w:after="100" w:afterAutospacing="1" w:line="240" w:lineRule="auto"/>
        <w:rPr>
          <w:rFonts w:ascii="Arial" w:eastAsia="Times New Roman" w:hAnsi="Arial" w:cs="Arial"/>
          <w:b/>
          <w:bCs/>
          <w:lang w:eastAsia="fr-FR"/>
        </w:rPr>
      </w:pPr>
      <w:r w:rsidRPr="009009FF">
        <w:rPr>
          <w:rFonts w:ascii="Arial" w:eastAsia="Times New Roman" w:hAnsi="Arial" w:cs="Arial"/>
          <w:b/>
          <w:bCs/>
          <w:lang w:eastAsia="fr-FR"/>
        </w:rPr>
        <w:t>« </w:t>
      </w:r>
      <w:hyperlink r:id="rId10" w:history="1">
        <w:r w:rsidRPr="009009FF">
          <w:rPr>
            <w:rFonts w:ascii="Arial" w:eastAsia="Times New Roman" w:hAnsi="Arial" w:cs="Arial"/>
            <w:b/>
            <w:bCs/>
            <w:lang w:eastAsia="fr-FR"/>
          </w:rPr>
          <w:t>Article R226-4</w:t>
        </w:r>
      </w:hyperlink>
      <w:r w:rsidR="00B12CFE" w:rsidRPr="009009FF">
        <w:rPr>
          <w:rFonts w:ascii="Arial" w:eastAsia="Times New Roman" w:hAnsi="Arial" w:cs="Arial"/>
          <w:b/>
          <w:bCs/>
          <w:lang w:eastAsia="fr-FR"/>
        </w:rPr>
        <w:t xml:space="preserve"> du Code de la route- </w:t>
      </w:r>
      <w:hyperlink r:id="rId11" w:history="1">
        <w:r w:rsidRPr="009009FF">
          <w:rPr>
            <w:rFonts w:ascii="Arial" w:eastAsia="Times New Roman" w:hAnsi="Arial" w:cs="Arial"/>
            <w:b/>
            <w:bCs/>
            <w:lang w:eastAsia="fr-FR"/>
          </w:rPr>
          <w:t>Création Décret n°2012-886 du 17 juillet 2012 - art. 2</w:t>
        </w:r>
        <w:r w:rsidRPr="009009FF">
          <w:rPr>
            <w:rFonts w:ascii="Arial" w:eastAsia="Times New Roman" w:hAnsi="Arial" w:cs="Arial"/>
            <w:b/>
            <w:bCs/>
            <w:lang w:eastAsia="fr-FR"/>
          </w:rPr>
          <w:br/>
        </w:r>
      </w:hyperlink>
    </w:p>
    <w:p w14:paraId="0774F0ED" w14:textId="15899607" w:rsidR="00E72D10" w:rsidRPr="00E72D10" w:rsidRDefault="00E72D10" w:rsidP="00E72D10">
      <w:pPr>
        <w:spacing w:after="0" w:line="240" w:lineRule="auto"/>
        <w:rPr>
          <w:rFonts w:ascii="Arial" w:eastAsia="Times New Roman" w:hAnsi="Arial" w:cs="Arial"/>
          <w:lang w:eastAsia="fr-FR"/>
        </w:rPr>
      </w:pPr>
      <w:r w:rsidRPr="00E72D10">
        <w:rPr>
          <w:rFonts w:ascii="Arial" w:eastAsia="Times New Roman" w:hAnsi="Arial" w:cs="Arial"/>
          <w:lang w:eastAsia="fr-FR"/>
        </w:rPr>
        <w:t>La commission médicale d'appel peut être saisie par la personne qui a fait l'objet d'un contrôle médical lorsque, à la suite de l'avis qui lui a été transmis, le préfet a rendu à son encontre une décision d'aptitude temporaire, d'aptitude avec restrictions d'utilisation du permis ou d'inaptitude.</w:t>
      </w:r>
      <w:r w:rsidRPr="00E72D10">
        <w:rPr>
          <w:rFonts w:ascii="Arial" w:eastAsia="Times New Roman" w:hAnsi="Arial" w:cs="Arial"/>
          <w:lang w:eastAsia="fr-FR"/>
        </w:rPr>
        <w:br/>
      </w:r>
      <w:r w:rsidRPr="00E72D10">
        <w:rPr>
          <w:rFonts w:ascii="Arial" w:eastAsia="Times New Roman" w:hAnsi="Arial" w:cs="Arial"/>
          <w:lang w:eastAsia="fr-FR"/>
        </w:rPr>
        <w:br/>
        <w:t>Cet appel ne suspend pas l'application de la décision préfectorale.</w:t>
      </w:r>
      <w:r w:rsidRPr="00E72D10">
        <w:rPr>
          <w:rFonts w:ascii="Arial" w:eastAsia="Times New Roman" w:hAnsi="Arial" w:cs="Arial"/>
          <w:lang w:eastAsia="fr-FR"/>
        </w:rPr>
        <w:br/>
      </w:r>
      <w:r w:rsidRPr="00E72D10">
        <w:rPr>
          <w:rFonts w:ascii="Arial" w:eastAsia="Times New Roman" w:hAnsi="Arial" w:cs="Arial"/>
          <w:lang w:eastAsia="fr-FR"/>
        </w:rPr>
        <w:br/>
        <w:t>La commission médicale d'appel, après avoir examiné la personne et entendu, si elle le juge nécessaire, le ou les médecins agréés qui ont réalisé son contrôle médical en première instance, transmet au préfet son avis motivé.</w:t>
      </w:r>
      <w:r w:rsidRPr="00E72D10">
        <w:rPr>
          <w:rFonts w:ascii="Arial" w:eastAsia="Times New Roman" w:hAnsi="Arial" w:cs="Arial"/>
          <w:lang w:eastAsia="fr-FR"/>
        </w:rPr>
        <w:br/>
      </w:r>
      <w:r w:rsidRPr="00E72D10">
        <w:rPr>
          <w:rFonts w:ascii="Arial" w:eastAsia="Times New Roman" w:hAnsi="Arial" w:cs="Arial"/>
          <w:lang w:eastAsia="fr-FR"/>
        </w:rPr>
        <w:br/>
        <w:t>La personne ayant fait l'objet d'une décision d'inaptitude, d'aptitude temporaire ou d'aptitude assortie de restrictions du préfet prise après avis de la commission d'appel, peut demander un nouveau contrôle médical par un médecin agréé consultant hors commission médicale ou par la commission médicale à l'expiration d'un délai de six mois suivant cette décision.</w:t>
      </w:r>
      <w:r>
        <w:rPr>
          <w:rFonts w:ascii="Arial" w:eastAsia="Times New Roman" w:hAnsi="Arial" w:cs="Arial"/>
          <w:lang w:eastAsia="fr-FR"/>
        </w:rPr>
        <w:t> »</w:t>
      </w:r>
    </w:p>
    <w:p w14:paraId="10B2A8D8" w14:textId="77777777" w:rsidR="00E72D10" w:rsidRPr="00E72D10" w:rsidRDefault="00E72D10" w:rsidP="00D163B6">
      <w:pPr>
        <w:rPr>
          <w:rFonts w:ascii="Arial" w:hAnsi="Arial" w:cs="Arial"/>
          <w:lang w:eastAsia="fr-FR"/>
        </w:rPr>
      </w:pPr>
    </w:p>
    <w:p w14:paraId="0D67CFD6" w14:textId="7566DA44" w:rsidR="00CD49E5" w:rsidRPr="00ED6F4F" w:rsidRDefault="00D163B6" w:rsidP="00ED6F4F">
      <w:pPr>
        <w:rPr>
          <w:rFonts w:ascii="Arial" w:hAnsi="Arial" w:cs="Arial"/>
          <w:lang w:eastAsia="fr-FR"/>
        </w:rPr>
      </w:pPr>
      <w:r w:rsidRPr="00E72D10">
        <w:rPr>
          <w:rFonts w:ascii="Arial" w:hAnsi="Arial" w:cs="Arial"/>
          <w:lang w:eastAsia="fr-FR"/>
        </w:rPr>
        <w:t xml:space="preserve">Si l'avis médical négatif est maintenu et que le préfet rend une décision d'inaptitude ou d'aptitude temporaire ou avec restrictions, </w:t>
      </w:r>
      <w:r w:rsidRPr="00E72D10">
        <w:rPr>
          <w:rFonts w:ascii="Arial" w:hAnsi="Arial" w:cs="Arial"/>
        </w:rPr>
        <w:t xml:space="preserve">le conducteur peut </w:t>
      </w:r>
      <w:r w:rsidRPr="00E72D10">
        <w:rPr>
          <w:rFonts w:ascii="Arial" w:hAnsi="Arial" w:cs="Arial"/>
          <w:lang w:eastAsia="fr-FR"/>
        </w:rPr>
        <w:t>faire un recours devant le juge administratif</w:t>
      </w:r>
      <w:r w:rsidR="00B12CFE">
        <w:rPr>
          <w:rFonts w:ascii="Arial" w:hAnsi="Arial" w:cs="Arial"/>
          <w:lang w:eastAsia="fr-FR"/>
        </w:rPr>
        <w:t>.</w:t>
      </w:r>
    </w:p>
    <w:p w14:paraId="394A80C5" w14:textId="73B9966D" w:rsidR="00CD49E5" w:rsidRPr="00FF2FB2" w:rsidRDefault="009009FF" w:rsidP="00FF2FB2">
      <w:pPr>
        <w:pStyle w:val="Paragraphedeliste"/>
        <w:numPr>
          <w:ilvl w:val="0"/>
          <w:numId w:val="20"/>
        </w:numPr>
        <w:shd w:val="clear" w:color="auto" w:fill="F4F3F3"/>
        <w:spacing w:before="100" w:beforeAutospacing="1" w:after="100" w:afterAutospacing="1" w:line="240" w:lineRule="auto"/>
        <w:rPr>
          <w:rFonts w:ascii="Arial" w:eastAsia="Times New Roman" w:hAnsi="Arial" w:cs="Arial"/>
          <w:b/>
          <w:bCs/>
          <w:color w:val="323232"/>
          <w:lang w:eastAsia="fr-FR"/>
        </w:rPr>
      </w:pPr>
      <w:r>
        <w:rPr>
          <w:rFonts w:ascii="Arial" w:eastAsia="Times New Roman" w:hAnsi="Arial" w:cs="Arial"/>
          <w:b/>
          <w:bCs/>
          <w:color w:val="323232"/>
          <w:lang w:eastAsia="fr-FR"/>
        </w:rPr>
        <w:t xml:space="preserve"> </w:t>
      </w:r>
      <w:r w:rsidR="00CD49E5" w:rsidRPr="00FF2FB2">
        <w:rPr>
          <w:rFonts w:ascii="Arial" w:eastAsia="Times New Roman" w:hAnsi="Arial" w:cs="Arial"/>
          <w:b/>
          <w:bCs/>
          <w:color w:val="323232"/>
          <w:lang w:eastAsia="fr-FR"/>
        </w:rPr>
        <w:t>Texte paru sur le site de la Sécurité routière en 2025 (ressource Internet) « </w:t>
      </w:r>
      <w:r w:rsidR="004E3434" w:rsidRPr="00FF2FB2">
        <w:rPr>
          <w:rFonts w:ascii="Arial" w:eastAsia="Times New Roman" w:hAnsi="Arial" w:cs="Arial"/>
          <w:b/>
          <w:bCs/>
          <w:color w:val="323232"/>
          <w:lang w:eastAsia="fr-FR"/>
        </w:rPr>
        <w:t xml:space="preserve">Docteur est-ce </w:t>
      </w:r>
      <w:r w:rsidR="007201A7" w:rsidRPr="00FF2FB2">
        <w:rPr>
          <w:rFonts w:ascii="Arial" w:eastAsia="Times New Roman" w:hAnsi="Arial" w:cs="Arial"/>
          <w:b/>
          <w:bCs/>
          <w:color w:val="323232"/>
          <w:lang w:eastAsia="fr-FR"/>
        </w:rPr>
        <w:t xml:space="preserve">que c’est </w:t>
      </w:r>
      <w:r w:rsidR="004E3434" w:rsidRPr="00FF2FB2">
        <w:rPr>
          <w:rFonts w:ascii="Arial" w:eastAsia="Times New Roman" w:hAnsi="Arial" w:cs="Arial"/>
          <w:b/>
          <w:bCs/>
          <w:color w:val="323232"/>
          <w:lang w:eastAsia="fr-FR"/>
        </w:rPr>
        <w:t xml:space="preserve">grave si je conduis » </w:t>
      </w:r>
    </w:p>
    <w:p w14:paraId="17CF8947" w14:textId="77777777" w:rsidR="009009FF" w:rsidRDefault="00E11812" w:rsidP="00E11812">
      <w:pPr>
        <w:shd w:val="clear" w:color="auto" w:fill="F4F3F3"/>
        <w:spacing w:before="100" w:beforeAutospacing="1" w:after="100" w:afterAutospacing="1" w:line="240" w:lineRule="auto"/>
        <w:ind w:left="360"/>
        <w:rPr>
          <w:rFonts w:ascii="Arial" w:eastAsia="Times New Roman" w:hAnsi="Arial" w:cs="Arial"/>
          <w:color w:val="323232"/>
          <w:lang w:eastAsia="fr-FR"/>
        </w:rPr>
      </w:pPr>
      <w:r>
        <w:rPr>
          <w:rFonts w:ascii="Arial" w:eastAsia="Times New Roman" w:hAnsi="Arial" w:cs="Arial"/>
          <w:color w:val="323232"/>
          <w:lang w:eastAsia="fr-FR"/>
        </w:rPr>
        <w:t>« </w:t>
      </w:r>
      <w:r w:rsidR="00CD49E5" w:rsidRPr="00CD49E5">
        <w:rPr>
          <w:rFonts w:ascii="Arial" w:eastAsia="Times New Roman" w:hAnsi="Arial" w:cs="Arial"/>
          <w:color w:val="323232"/>
          <w:lang w:eastAsia="fr-FR"/>
        </w:rPr>
        <w:t xml:space="preserve">Inapte : L’information de la durée de l’inaptitude est donnée oralement à l’usager avec les motivations de cette inaptitude et sur les conditions et les délais nécessaires qui permettraient, lorsque tel est le cas, de rendre ultérieurement un avis d’aptitude lors du contrôle médical suivant pour la reprise de la conduite. </w:t>
      </w:r>
    </w:p>
    <w:p w14:paraId="49260FD4" w14:textId="31CCC5DD" w:rsidR="00CD49E5" w:rsidRPr="00CD49E5" w:rsidRDefault="00CD49E5" w:rsidP="00E11812">
      <w:pPr>
        <w:shd w:val="clear" w:color="auto" w:fill="F4F3F3"/>
        <w:spacing w:before="100" w:beforeAutospacing="1" w:after="100" w:afterAutospacing="1" w:line="240" w:lineRule="auto"/>
        <w:ind w:left="360"/>
        <w:rPr>
          <w:rFonts w:ascii="Arial" w:eastAsia="Times New Roman" w:hAnsi="Arial" w:cs="Arial"/>
          <w:color w:val="323232"/>
          <w:lang w:eastAsia="fr-FR"/>
        </w:rPr>
      </w:pPr>
      <w:r w:rsidRPr="00CD49E5">
        <w:rPr>
          <w:rFonts w:ascii="Arial" w:eastAsia="Times New Roman" w:hAnsi="Arial" w:cs="Arial"/>
          <w:color w:val="323232"/>
          <w:lang w:eastAsia="fr-FR"/>
        </w:rPr>
        <w:t>Aucune notion d’inaptitude temporaire ne figure sur l’avis rendu car cela signifierait que l’inaptitude prend fin à une date donnée. L’inaptitude peut être levée uniquement par un nouveau contrôle médical</w:t>
      </w:r>
      <w:r w:rsidR="00E11812">
        <w:rPr>
          <w:rFonts w:ascii="Arial" w:eastAsia="Times New Roman" w:hAnsi="Arial" w:cs="Arial"/>
          <w:color w:val="323232"/>
          <w:lang w:eastAsia="fr-FR"/>
        </w:rPr>
        <w:t xml:space="preserve"> » </w:t>
      </w:r>
    </w:p>
    <w:p w14:paraId="23A09117" w14:textId="77777777" w:rsidR="00D163B6" w:rsidRPr="009009FF" w:rsidRDefault="00D163B6" w:rsidP="007E3292">
      <w:pPr>
        <w:spacing w:after="100" w:afterAutospacing="1" w:line="240" w:lineRule="auto"/>
        <w:rPr>
          <w:rFonts w:ascii="Arial" w:eastAsia="Times New Roman" w:hAnsi="Arial" w:cs="Arial"/>
          <w:b/>
          <w:bCs/>
          <w:color w:val="000000"/>
          <w:lang w:eastAsia="fr-FR"/>
        </w:rPr>
      </w:pPr>
    </w:p>
    <w:p w14:paraId="538C7C4C" w14:textId="04DD4ECD" w:rsidR="00FF2FB2" w:rsidRPr="009009FF" w:rsidRDefault="00FF2FB2" w:rsidP="009009FF">
      <w:pPr>
        <w:spacing w:after="100" w:afterAutospacing="1" w:line="240" w:lineRule="auto"/>
        <w:rPr>
          <w:rFonts w:ascii="Arial" w:eastAsia="Times New Roman" w:hAnsi="Arial" w:cs="Arial"/>
          <w:b/>
          <w:bCs/>
          <w:color w:val="000000"/>
          <w:lang w:eastAsia="fr-FR"/>
        </w:rPr>
      </w:pPr>
      <w:r w:rsidRPr="009009FF">
        <w:rPr>
          <w:rFonts w:ascii="Arial" w:eastAsia="Times New Roman" w:hAnsi="Arial" w:cs="Arial"/>
          <w:b/>
          <w:bCs/>
          <w:color w:val="000000"/>
          <w:lang w:eastAsia="fr-FR"/>
        </w:rPr>
        <w:t>A noter</w:t>
      </w:r>
    </w:p>
    <w:p w14:paraId="52C6D239" w14:textId="04E3157E" w:rsidR="00FF2FB2" w:rsidRDefault="00FF2FB2" w:rsidP="009009FF">
      <w:pPr>
        <w:pStyle w:val="Paragraphedeliste"/>
        <w:numPr>
          <w:ilvl w:val="0"/>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L’absence actuelle de commission d’appel à Paris</w:t>
      </w:r>
    </w:p>
    <w:p w14:paraId="4CFE6C7B" w14:textId="48B00805" w:rsidR="00FF2FB2" w:rsidRPr="00FF2FB2" w:rsidRDefault="00FF2FB2" w:rsidP="009009FF">
      <w:pPr>
        <w:pStyle w:val="Paragraphedeliste"/>
        <w:numPr>
          <w:ilvl w:val="0"/>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 xml:space="preserve">La décision d’inaptitude n’a pas le même poids lors de la </w:t>
      </w:r>
      <w:r w:rsidR="009009FF">
        <w:rPr>
          <w:rFonts w:ascii="Arial" w:eastAsia="Times New Roman" w:hAnsi="Arial" w:cs="Arial"/>
          <w:color w:val="000000"/>
          <w:lang w:eastAsia="fr-FR"/>
        </w:rPr>
        <w:t>1</w:t>
      </w:r>
      <w:r w:rsidR="009009FF" w:rsidRPr="009009FF">
        <w:rPr>
          <w:rFonts w:ascii="Arial" w:eastAsia="Times New Roman" w:hAnsi="Arial" w:cs="Arial"/>
          <w:color w:val="000000"/>
          <w:vertAlign w:val="superscript"/>
          <w:lang w:eastAsia="fr-FR"/>
        </w:rPr>
        <w:t>ère</w:t>
      </w:r>
      <w:r w:rsidR="009009FF">
        <w:rPr>
          <w:rFonts w:ascii="Arial" w:eastAsia="Times New Roman" w:hAnsi="Arial" w:cs="Arial"/>
          <w:color w:val="000000"/>
          <w:lang w:eastAsia="fr-FR"/>
        </w:rPr>
        <w:t xml:space="preserve"> consultation d’aptitude que lors de la 2</w:t>
      </w:r>
      <w:r w:rsidR="009009FF" w:rsidRPr="009009FF">
        <w:rPr>
          <w:rFonts w:ascii="Arial" w:eastAsia="Times New Roman" w:hAnsi="Arial" w:cs="Arial"/>
          <w:color w:val="000000"/>
          <w:vertAlign w:val="superscript"/>
          <w:lang w:eastAsia="fr-FR"/>
        </w:rPr>
        <w:t>ème</w:t>
      </w:r>
      <w:r w:rsidR="009009FF">
        <w:rPr>
          <w:rFonts w:ascii="Arial" w:eastAsia="Times New Roman" w:hAnsi="Arial" w:cs="Arial"/>
          <w:color w:val="000000"/>
          <w:lang w:eastAsia="fr-FR"/>
        </w:rPr>
        <w:t>.un an après Tout le processus développé entre la 1</w:t>
      </w:r>
      <w:r w:rsidR="009009FF" w:rsidRPr="009009FF">
        <w:rPr>
          <w:rFonts w:ascii="Arial" w:eastAsia="Times New Roman" w:hAnsi="Arial" w:cs="Arial"/>
          <w:color w:val="000000"/>
          <w:vertAlign w:val="superscript"/>
          <w:lang w:eastAsia="fr-FR"/>
        </w:rPr>
        <w:t>ère</w:t>
      </w:r>
      <w:r w:rsidR="009009FF">
        <w:rPr>
          <w:rFonts w:ascii="Arial" w:eastAsia="Times New Roman" w:hAnsi="Arial" w:cs="Arial"/>
          <w:color w:val="000000"/>
          <w:lang w:eastAsia="fr-FR"/>
        </w:rPr>
        <w:t xml:space="preserve"> et la 2</w:t>
      </w:r>
      <w:r w:rsidR="009009FF" w:rsidRPr="009009FF">
        <w:rPr>
          <w:rFonts w:ascii="Arial" w:eastAsia="Times New Roman" w:hAnsi="Arial" w:cs="Arial"/>
          <w:color w:val="000000"/>
          <w:vertAlign w:val="superscript"/>
          <w:lang w:eastAsia="fr-FR"/>
        </w:rPr>
        <w:t>ème</w:t>
      </w:r>
      <w:r w:rsidR="009009FF">
        <w:rPr>
          <w:rFonts w:ascii="Arial" w:eastAsia="Times New Roman" w:hAnsi="Arial" w:cs="Arial"/>
          <w:color w:val="000000"/>
          <w:lang w:eastAsia="fr-FR"/>
        </w:rPr>
        <w:t xml:space="preserve"> consultation est alors annulé en cas d’inaptitude prononcé à la 2</w:t>
      </w:r>
      <w:r w:rsidR="009009FF" w:rsidRPr="009009FF">
        <w:rPr>
          <w:rFonts w:ascii="Arial" w:eastAsia="Times New Roman" w:hAnsi="Arial" w:cs="Arial"/>
          <w:color w:val="000000"/>
          <w:vertAlign w:val="superscript"/>
          <w:lang w:eastAsia="fr-FR"/>
        </w:rPr>
        <w:t>ème</w:t>
      </w:r>
      <w:r w:rsidR="009009FF">
        <w:rPr>
          <w:rFonts w:ascii="Arial" w:eastAsia="Times New Roman" w:hAnsi="Arial" w:cs="Arial"/>
          <w:color w:val="000000"/>
          <w:lang w:eastAsia="fr-FR"/>
        </w:rPr>
        <w:t xml:space="preserve"> </w:t>
      </w:r>
      <w:r w:rsidR="002200A9">
        <w:rPr>
          <w:rFonts w:ascii="Arial" w:eastAsia="Times New Roman" w:hAnsi="Arial" w:cs="Arial"/>
          <w:color w:val="000000"/>
          <w:lang w:eastAsia="fr-FR"/>
        </w:rPr>
        <w:t>visite,</w:t>
      </w:r>
      <w:r w:rsidR="009009FF">
        <w:rPr>
          <w:rFonts w:ascii="Arial" w:eastAsia="Times New Roman" w:hAnsi="Arial" w:cs="Arial"/>
          <w:color w:val="000000"/>
          <w:lang w:eastAsia="fr-FR"/>
        </w:rPr>
        <w:t xml:space="preserve"> notamment l’invalidation des tests psychologiques et le redémarrage à zéro de la nouvelle </w:t>
      </w:r>
      <w:r w:rsidR="009009FF">
        <w:rPr>
          <w:rFonts w:ascii="Arial" w:eastAsia="Times New Roman" w:hAnsi="Arial" w:cs="Arial"/>
          <w:color w:val="000000"/>
          <w:lang w:eastAsia="fr-FR"/>
        </w:rPr>
        <w:lastRenderedPageBreak/>
        <w:t xml:space="preserve">démarche du conducteur avec deux visites à un an d’intervalle au minimum et des frais lourds </w:t>
      </w:r>
      <w:r w:rsidR="004A755F">
        <w:rPr>
          <w:rFonts w:ascii="Arial" w:eastAsia="Times New Roman" w:hAnsi="Arial" w:cs="Arial"/>
          <w:color w:val="000000"/>
          <w:lang w:eastAsia="fr-FR"/>
        </w:rPr>
        <w:t>pour conducteur</w:t>
      </w:r>
      <w:r w:rsidR="009009FF">
        <w:rPr>
          <w:rFonts w:ascii="Arial" w:eastAsia="Times New Roman" w:hAnsi="Arial" w:cs="Arial"/>
          <w:color w:val="000000"/>
          <w:lang w:eastAsia="fr-FR"/>
        </w:rPr>
        <w:t>.</w:t>
      </w:r>
    </w:p>
    <w:p w14:paraId="49063077" w14:textId="77777777" w:rsidR="002B21A8" w:rsidRDefault="002B21A8" w:rsidP="007F6342">
      <w:pPr>
        <w:spacing w:after="100" w:afterAutospacing="1" w:line="240" w:lineRule="auto"/>
        <w:rPr>
          <w:rFonts w:ascii="Arial" w:eastAsia="Times New Roman" w:hAnsi="Arial" w:cs="Arial"/>
          <w:color w:val="000000"/>
          <w:lang w:eastAsia="fr-FR"/>
        </w:rPr>
      </w:pPr>
    </w:p>
    <w:p w14:paraId="3D9FA300" w14:textId="77777777" w:rsidR="002B21A8" w:rsidRPr="0024068C" w:rsidRDefault="002B21A8" w:rsidP="007E3292">
      <w:pPr>
        <w:spacing w:after="100" w:afterAutospacing="1" w:line="240" w:lineRule="auto"/>
        <w:rPr>
          <w:rFonts w:ascii="Arial" w:eastAsia="Times New Roman" w:hAnsi="Arial" w:cs="Arial"/>
          <w:b/>
          <w:bCs/>
          <w:color w:val="000000"/>
          <w:sz w:val="32"/>
          <w:szCs w:val="32"/>
          <w:lang w:eastAsia="fr-FR"/>
        </w:rPr>
      </w:pPr>
    </w:p>
    <w:p w14:paraId="237E9EBD" w14:textId="754D0019" w:rsidR="00D163B6" w:rsidRPr="00E66B3C" w:rsidRDefault="00E66B3C" w:rsidP="00E66B3C">
      <w:pPr>
        <w:spacing w:after="100" w:afterAutospacing="1" w:line="240" w:lineRule="auto"/>
        <w:ind w:left="360"/>
        <w:rPr>
          <w:rFonts w:ascii="Arial" w:eastAsia="Times New Roman" w:hAnsi="Arial" w:cs="Arial"/>
          <w:b/>
          <w:bCs/>
          <w:color w:val="000000"/>
          <w:sz w:val="32"/>
          <w:szCs w:val="32"/>
          <w:lang w:eastAsia="fr-FR"/>
        </w:rPr>
      </w:pPr>
      <w:r>
        <w:rPr>
          <w:rFonts w:ascii="Arial" w:eastAsia="Times New Roman" w:hAnsi="Arial" w:cs="Arial"/>
          <w:b/>
          <w:bCs/>
          <w:color w:val="000000"/>
          <w:sz w:val="32"/>
          <w:szCs w:val="32"/>
          <w:lang w:eastAsia="fr-FR"/>
        </w:rPr>
        <w:t xml:space="preserve">(3) </w:t>
      </w:r>
      <w:r w:rsidR="00931F37" w:rsidRPr="00E66B3C">
        <w:rPr>
          <w:rFonts w:ascii="Arial" w:eastAsia="Times New Roman" w:hAnsi="Arial" w:cs="Arial"/>
          <w:b/>
          <w:bCs/>
          <w:color w:val="000000"/>
          <w:sz w:val="32"/>
          <w:szCs w:val="32"/>
          <w:lang w:eastAsia="fr-FR"/>
        </w:rPr>
        <w:t>Et si on passait à une méthode plus sûre ?... La PE</w:t>
      </w:r>
      <w:r w:rsidR="00B5490B" w:rsidRPr="00E66B3C">
        <w:rPr>
          <w:rFonts w:ascii="Arial" w:eastAsia="Times New Roman" w:hAnsi="Arial" w:cs="Arial"/>
          <w:b/>
          <w:bCs/>
          <w:color w:val="000000"/>
          <w:sz w:val="32"/>
          <w:szCs w:val="32"/>
          <w:lang w:eastAsia="fr-FR"/>
        </w:rPr>
        <w:t>t</w:t>
      </w:r>
      <w:r w:rsidR="00BE6B46" w:rsidRPr="00E66B3C">
        <w:rPr>
          <w:rFonts w:ascii="Arial" w:eastAsia="Times New Roman" w:hAnsi="Arial" w:cs="Arial"/>
          <w:b/>
          <w:bCs/>
          <w:color w:val="000000"/>
          <w:sz w:val="32"/>
          <w:szCs w:val="32"/>
          <w:lang w:eastAsia="fr-FR"/>
        </w:rPr>
        <w:t>h</w:t>
      </w:r>
    </w:p>
    <w:p w14:paraId="3EE593B1" w14:textId="77777777" w:rsidR="0024068C" w:rsidRPr="0024068C" w:rsidRDefault="0024068C" w:rsidP="007E3292">
      <w:pPr>
        <w:spacing w:after="100" w:afterAutospacing="1" w:line="240" w:lineRule="auto"/>
        <w:rPr>
          <w:rFonts w:ascii="Arial" w:eastAsia="Times New Roman" w:hAnsi="Arial" w:cs="Arial"/>
          <w:b/>
          <w:bCs/>
          <w:color w:val="000000"/>
          <w:sz w:val="32"/>
          <w:szCs w:val="32"/>
          <w:lang w:eastAsia="fr-FR"/>
        </w:rPr>
      </w:pPr>
    </w:p>
    <w:p w14:paraId="2858BEF1" w14:textId="77884766" w:rsidR="004B6F1A" w:rsidRPr="0024068C" w:rsidRDefault="0024068C" w:rsidP="004B6F1A">
      <w:pPr>
        <w:spacing w:after="100" w:afterAutospacing="1" w:line="240" w:lineRule="auto"/>
        <w:rPr>
          <w:rFonts w:ascii="Arial" w:eastAsia="Times New Roman" w:hAnsi="Arial" w:cs="Arial"/>
          <w:color w:val="000000"/>
          <w:lang w:eastAsia="fr-FR"/>
        </w:rPr>
      </w:pPr>
      <w:r w:rsidRPr="003C1D4F">
        <w:rPr>
          <w:rFonts w:ascii="Arial" w:eastAsia="Times New Roman" w:hAnsi="Arial" w:cs="Arial"/>
          <w:b/>
          <w:bCs/>
          <w:color w:val="000000"/>
          <w:lang w:eastAsia="fr-FR"/>
        </w:rPr>
        <w:t>Définition</w:t>
      </w:r>
      <w:r>
        <w:rPr>
          <w:rFonts w:ascii="Arial" w:eastAsia="Times New Roman" w:hAnsi="Arial" w:cs="Arial"/>
          <w:color w:val="000000"/>
          <w:lang w:eastAsia="fr-FR"/>
        </w:rPr>
        <w:t xml:space="preserve"> : </w:t>
      </w:r>
      <w:r w:rsidR="004B6F1A" w:rsidRPr="0024068C">
        <w:rPr>
          <w:rFonts w:ascii="Arial" w:eastAsia="Times New Roman" w:hAnsi="Arial" w:cs="Arial"/>
          <w:color w:val="000000"/>
          <w:lang w:eastAsia="fr-FR"/>
        </w:rPr>
        <w:t xml:space="preserve">Qu'est-ce que le phosphatidyléthanol </w:t>
      </w:r>
      <w:r w:rsidR="00466A19">
        <w:rPr>
          <w:rFonts w:ascii="Arial" w:eastAsia="Times New Roman" w:hAnsi="Arial" w:cs="Arial"/>
          <w:color w:val="000000"/>
          <w:lang w:eastAsia="fr-FR"/>
        </w:rPr>
        <w:t xml:space="preserve">(PEth) </w:t>
      </w:r>
      <w:r w:rsidR="004B6F1A" w:rsidRPr="0024068C">
        <w:rPr>
          <w:rFonts w:ascii="Arial" w:eastAsia="Times New Roman" w:hAnsi="Arial" w:cs="Arial"/>
          <w:color w:val="000000"/>
          <w:lang w:eastAsia="fr-FR"/>
        </w:rPr>
        <w:t>?</w:t>
      </w:r>
    </w:p>
    <w:p w14:paraId="6AD8C1DC" w14:textId="16A84DBD" w:rsidR="004B6F1A" w:rsidRDefault="004B6F1A" w:rsidP="004B6F1A">
      <w:pPr>
        <w:spacing w:after="100" w:afterAutospacing="1" w:line="240" w:lineRule="auto"/>
        <w:rPr>
          <w:rFonts w:ascii="Arial" w:eastAsia="Times New Roman" w:hAnsi="Arial" w:cs="Arial"/>
          <w:color w:val="000000"/>
          <w:lang w:eastAsia="fr-FR"/>
        </w:rPr>
      </w:pPr>
      <w:r w:rsidRPr="004B6F1A">
        <w:rPr>
          <w:rFonts w:ascii="Arial" w:eastAsia="Times New Roman" w:hAnsi="Arial" w:cs="Arial"/>
          <w:color w:val="000000"/>
          <w:lang w:eastAsia="fr-FR"/>
        </w:rPr>
        <w:t>Le phosphatidyléthanol (PEth) est un marqueur direct de l'alcool, c'est-à-dire une substance formée</w:t>
      </w:r>
      <w:r>
        <w:rPr>
          <w:rFonts w:ascii="Arial" w:eastAsia="Times New Roman" w:hAnsi="Arial" w:cs="Arial"/>
          <w:color w:val="000000"/>
          <w:lang w:eastAsia="fr-FR"/>
        </w:rPr>
        <w:t xml:space="preserve"> </w:t>
      </w:r>
      <w:r w:rsidRPr="004B6F1A">
        <w:rPr>
          <w:rFonts w:ascii="Arial" w:eastAsia="Times New Roman" w:hAnsi="Arial" w:cs="Arial"/>
          <w:color w:val="000000"/>
          <w:lang w:eastAsia="fr-FR"/>
        </w:rPr>
        <w:t>dans l'organisme par une réaction directe de l'alcool (l’éthanol) avec une substance spécifique de</w:t>
      </w:r>
      <w:r>
        <w:rPr>
          <w:rFonts w:ascii="Arial" w:eastAsia="Times New Roman" w:hAnsi="Arial" w:cs="Arial"/>
          <w:color w:val="000000"/>
          <w:lang w:eastAsia="fr-FR"/>
        </w:rPr>
        <w:t xml:space="preserve"> </w:t>
      </w:r>
      <w:r w:rsidRPr="004B6F1A">
        <w:rPr>
          <w:rFonts w:ascii="Arial" w:eastAsia="Times New Roman" w:hAnsi="Arial" w:cs="Arial"/>
          <w:color w:val="000000"/>
          <w:lang w:eastAsia="fr-FR"/>
        </w:rPr>
        <w:t xml:space="preserve">l'organisme (la phosphatidylcholine, présente dans la membrane cellulaire des érythrocytes). </w:t>
      </w:r>
      <w:r w:rsidR="00882015">
        <w:rPr>
          <w:rFonts w:ascii="Arial" w:eastAsia="Times New Roman" w:hAnsi="Arial" w:cs="Arial"/>
          <w:color w:val="000000"/>
          <w:lang w:eastAsia="fr-FR"/>
        </w:rPr>
        <w:t>La concentration de PEth est un marqueur direct et spécifique d’une consommation d’</w:t>
      </w:r>
      <w:r w:rsidR="0024068C">
        <w:rPr>
          <w:rFonts w:ascii="Arial" w:eastAsia="Times New Roman" w:hAnsi="Arial" w:cs="Arial"/>
          <w:color w:val="000000"/>
          <w:lang w:eastAsia="fr-FR"/>
        </w:rPr>
        <w:t>alcool. Elle</w:t>
      </w:r>
      <w:r w:rsidR="00882015">
        <w:rPr>
          <w:rFonts w:ascii="Arial" w:eastAsia="Times New Roman" w:hAnsi="Arial" w:cs="Arial"/>
          <w:color w:val="000000"/>
          <w:lang w:eastAsia="fr-FR"/>
        </w:rPr>
        <w:t xml:space="preserve"> est totalement corrélée au volume d’alcool ingurgité dès le 1</w:t>
      </w:r>
      <w:r w:rsidR="00882015" w:rsidRPr="00882015">
        <w:rPr>
          <w:rFonts w:ascii="Arial" w:eastAsia="Times New Roman" w:hAnsi="Arial" w:cs="Arial"/>
          <w:color w:val="000000"/>
          <w:vertAlign w:val="superscript"/>
          <w:lang w:eastAsia="fr-FR"/>
        </w:rPr>
        <w:t>er</w:t>
      </w:r>
      <w:r w:rsidR="00882015">
        <w:rPr>
          <w:rFonts w:ascii="Arial" w:eastAsia="Times New Roman" w:hAnsi="Arial" w:cs="Arial"/>
          <w:color w:val="000000"/>
          <w:lang w:eastAsia="fr-FR"/>
        </w:rPr>
        <w:t xml:space="preserve"> c</w:t>
      </w:r>
      <w:r w:rsidR="0024068C">
        <w:rPr>
          <w:rFonts w:ascii="Arial" w:eastAsia="Times New Roman" w:hAnsi="Arial" w:cs="Arial"/>
          <w:color w:val="000000"/>
          <w:lang w:eastAsia="fr-FR"/>
        </w:rPr>
        <w:t>entilitre</w:t>
      </w:r>
      <w:r w:rsidR="00882015">
        <w:rPr>
          <w:rFonts w:ascii="Arial" w:eastAsia="Times New Roman" w:hAnsi="Arial" w:cs="Arial"/>
          <w:color w:val="000000"/>
          <w:lang w:eastAsia="fr-FR"/>
        </w:rPr>
        <w:t>.</w:t>
      </w:r>
      <w:r w:rsidR="00BC5533">
        <w:rPr>
          <w:rFonts w:ascii="Arial" w:eastAsia="Times New Roman" w:hAnsi="Arial" w:cs="Arial"/>
          <w:color w:val="000000"/>
          <w:lang w:eastAsia="fr-FR"/>
        </w:rPr>
        <w:t xml:space="preserve"> </w:t>
      </w:r>
      <w:r w:rsidR="00B5490B">
        <w:rPr>
          <w:rFonts w:ascii="Arial" w:eastAsia="Times New Roman" w:hAnsi="Arial" w:cs="Arial"/>
          <w:color w:val="000000"/>
          <w:lang w:eastAsia="fr-FR"/>
        </w:rPr>
        <w:t>L</w:t>
      </w:r>
      <w:r w:rsidRPr="004B6F1A">
        <w:rPr>
          <w:rFonts w:ascii="Arial" w:eastAsia="Times New Roman" w:hAnsi="Arial" w:cs="Arial"/>
          <w:color w:val="000000"/>
          <w:lang w:eastAsia="fr-FR"/>
        </w:rPr>
        <w:t xml:space="preserve">e PEth n'est présent dans le sang que si de l'alcool a été consommé. </w:t>
      </w:r>
    </w:p>
    <w:p w14:paraId="6074D51D" w14:textId="6EE13EA4" w:rsidR="004B6F1A" w:rsidRDefault="004B6F1A" w:rsidP="004B6F1A">
      <w:p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L</w:t>
      </w:r>
      <w:r w:rsidRPr="004B6F1A">
        <w:rPr>
          <w:rFonts w:ascii="Arial" w:eastAsia="Times New Roman" w:hAnsi="Arial" w:cs="Arial"/>
          <w:color w:val="000000"/>
          <w:lang w:eastAsia="fr-FR"/>
        </w:rPr>
        <w:t>a concentration du PEth</w:t>
      </w:r>
      <w:r>
        <w:rPr>
          <w:rFonts w:ascii="Arial" w:eastAsia="Times New Roman" w:hAnsi="Arial" w:cs="Arial"/>
          <w:color w:val="000000"/>
          <w:lang w:eastAsia="fr-FR"/>
        </w:rPr>
        <w:t xml:space="preserve"> </w:t>
      </w:r>
      <w:r w:rsidRPr="004B6F1A">
        <w:rPr>
          <w:rFonts w:ascii="Arial" w:eastAsia="Times New Roman" w:hAnsi="Arial" w:cs="Arial"/>
          <w:color w:val="000000"/>
          <w:lang w:eastAsia="fr-FR"/>
        </w:rPr>
        <w:t>dans le sang donne une indication de la quantité d’alcool consommée dans le mois précédent. C'es</w:t>
      </w:r>
      <w:r>
        <w:rPr>
          <w:rFonts w:ascii="Arial" w:eastAsia="Times New Roman" w:hAnsi="Arial" w:cs="Arial"/>
          <w:color w:val="000000"/>
          <w:lang w:eastAsia="fr-FR"/>
        </w:rPr>
        <w:t xml:space="preserve">t </w:t>
      </w:r>
      <w:r w:rsidRPr="004B6F1A">
        <w:rPr>
          <w:rFonts w:ascii="Arial" w:eastAsia="Times New Roman" w:hAnsi="Arial" w:cs="Arial"/>
          <w:color w:val="000000"/>
          <w:lang w:eastAsia="fr-FR"/>
        </w:rPr>
        <w:t>pourquoi l'analyse du marqueur PEth est de plus en plus utilisée au niveau international pour surveille</w:t>
      </w:r>
      <w:r w:rsidR="00B5490B">
        <w:rPr>
          <w:rFonts w:ascii="Arial" w:eastAsia="Times New Roman" w:hAnsi="Arial" w:cs="Arial"/>
          <w:color w:val="000000"/>
          <w:lang w:eastAsia="fr-FR"/>
        </w:rPr>
        <w:t>r</w:t>
      </w:r>
      <w:r w:rsidRPr="004B6F1A">
        <w:rPr>
          <w:rFonts w:ascii="Arial" w:eastAsia="Times New Roman" w:hAnsi="Arial" w:cs="Arial"/>
          <w:color w:val="000000"/>
          <w:lang w:eastAsia="fr-FR"/>
        </w:rPr>
        <w:t>, la consommation d’alcool</w:t>
      </w:r>
      <w:r w:rsidR="00B5490B">
        <w:rPr>
          <w:rFonts w:ascii="Arial" w:eastAsia="Times New Roman" w:hAnsi="Arial" w:cs="Arial"/>
          <w:color w:val="000000"/>
          <w:lang w:eastAsia="fr-FR"/>
        </w:rPr>
        <w:t>.</w:t>
      </w:r>
    </w:p>
    <w:p w14:paraId="5BA3A30F" w14:textId="2609A5A9" w:rsidR="007201A7" w:rsidRPr="00E66B3C" w:rsidRDefault="00E04C92" w:rsidP="004B6F1A">
      <w:pPr>
        <w:spacing w:after="100" w:afterAutospacing="1" w:line="240" w:lineRule="auto"/>
        <w:rPr>
          <w:rFonts w:ascii="Arial" w:hAnsi="Arial" w:cs="Arial"/>
        </w:rPr>
      </w:pPr>
      <w:r w:rsidRPr="00E04C92">
        <w:rPr>
          <w:rFonts w:ascii="Arial" w:hAnsi="Arial" w:cs="Arial"/>
        </w:rPr>
        <w:t>Le phosphatidyléthanol (PEth) est un marqueur direct de consommation d’alcool avec une grande sensibilité et spécificité. Il a été découvert dans les années 1980. Le PEth est une molécule formée dans l’organisme suite à la réaction entre l'alcool (éthanol) et la phospholipase D (enzyme ubiquitaire, présente dans la membrane cellulaire des érythrocytes). Le PEth est donc présent dans le sang uniquement lorsque de l’alcool est consommé et sa quantité est directement proportionnelle à la quantité d’alcool ingérée. De plus, il permet de détecter une consommation excessive et chronique d’alcool car il s’accumule après une consommation répétée dans le temps. Sa fenêtre de détection est relativement grande : 2 à 3 semaines après la dernière consommation d’alcool.</w:t>
      </w:r>
    </w:p>
    <w:p w14:paraId="0F693E0C" w14:textId="77777777" w:rsidR="007201A7" w:rsidRPr="00E04C92" w:rsidRDefault="007201A7" w:rsidP="004B6F1A">
      <w:pPr>
        <w:spacing w:after="100" w:afterAutospacing="1" w:line="240" w:lineRule="auto"/>
        <w:rPr>
          <w:rFonts w:ascii="Arial" w:eastAsia="Times New Roman" w:hAnsi="Arial" w:cs="Arial"/>
          <w:color w:val="000000"/>
          <w:lang w:eastAsia="fr-FR"/>
        </w:rPr>
      </w:pPr>
    </w:p>
    <w:p w14:paraId="68B4B5C1" w14:textId="576CD7F0" w:rsidR="00BE28C9" w:rsidRPr="003C1D4F" w:rsidRDefault="0024068C" w:rsidP="004B6F1A">
      <w:pPr>
        <w:spacing w:after="100" w:afterAutospacing="1" w:line="240" w:lineRule="auto"/>
        <w:rPr>
          <w:rFonts w:ascii="Arial" w:eastAsia="Times New Roman" w:hAnsi="Arial" w:cs="Arial"/>
          <w:b/>
          <w:bCs/>
          <w:color w:val="000000"/>
          <w:sz w:val="24"/>
          <w:szCs w:val="24"/>
          <w:lang w:eastAsia="fr-FR"/>
        </w:rPr>
      </w:pPr>
      <w:r w:rsidRPr="0024068C">
        <w:rPr>
          <w:rFonts w:ascii="Arial" w:eastAsia="Times New Roman" w:hAnsi="Arial" w:cs="Arial"/>
          <w:b/>
          <w:bCs/>
          <w:color w:val="000000"/>
          <w:sz w:val="24"/>
          <w:szCs w:val="24"/>
          <w:lang w:eastAsia="fr-FR"/>
        </w:rPr>
        <w:t>Caractéristiques de la PEth :</w:t>
      </w:r>
    </w:p>
    <w:p w14:paraId="1D6C10C3" w14:textId="5A2F6E85" w:rsidR="00BE28C9" w:rsidRDefault="00BE28C9" w:rsidP="00BE28C9">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La concentration du PEth dépend exclusivement de la quantité d’alcool consommée</w:t>
      </w:r>
    </w:p>
    <w:p w14:paraId="01626B50" w14:textId="28991A6C" w:rsidR="00BE28C9" w:rsidRDefault="00BE28C9" w:rsidP="00BE28C9">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La demi-vie du PEth est de 8 jours</w:t>
      </w:r>
    </w:p>
    <w:p w14:paraId="736C4421" w14:textId="5DBCF089" w:rsidR="00BE28C9" w:rsidRDefault="00BE28C9" w:rsidP="00BE28C9">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La concentration mesurée informe de la consommation d’alcool sur le</w:t>
      </w:r>
      <w:r w:rsidR="0097656D">
        <w:rPr>
          <w:rFonts w:ascii="Arial" w:eastAsia="Times New Roman" w:hAnsi="Arial" w:cs="Arial"/>
          <w:color w:val="000000"/>
          <w:lang w:eastAsia="fr-FR"/>
        </w:rPr>
        <w:t>s 3 à 7 semaines précédant</w:t>
      </w:r>
      <w:r>
        <w:rPr>
          <w:rFonts w:ascii="Arial" w:eastAsia="Times New Roman" w:hAnsi="Arial" w:cs="Arial"/>
          <w:color w:val="000000"/>
          <w:lang w:eastAsia="fr-FR"/>
        </w:rPr>
        <w:t xml:space="preserve"> l’examen</w:t>
      </w:r>
    </w:p>
    <w:p w14:paraId="65192B3E" w14:textId="58F5D324" w:rsidR="00BE28C9" w:rsidRDefault="00BE28C9" w:rsidP="00BE28C9">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Pas de faux-positifs ou de faux-négatifs recensés</w:t>
      </w:r>
    </w:p>
    <w:p w14:paraId="2612CD17" w14:textId="1ADB155D" w:rsidR="0097656D" w:rsidRDefault="0097656D" w:rsidP="00BE28C9">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Prélèvement sanguin : goutte de sang au bout du doigt</w:t>
      </w:r>
    </w:p>
    <w:p w14:paraId="6D7F4016" w14:textId="61CF60A8" w:rsidR="0097656D" w:rsidRDefault="0097656D" w:rsidP="00BE28C9">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Résultat en 10 jours environ</w:t>
      </w:r>
    </w:p>
    <w:p w14:paraId="023DBEB5" w14:textId="3ECFEF27" w:rsidR="0024068C" w:rsidRDefault="0097656D" w:rsidP="00E66B3C">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Coût </w:t>
      </w:r>
      <w:r w:rsidR="003C1D4F">
        <w:rPr>
          <w:rFonts w:ascii="Arial" w:eastAsia="Times New Roman" w:hAnsi="Arial" w:cs="Arial"/>
          <w:color w:val="000000"/>
          <w:lang w:eastAsia="fr-FR"/>
        </w:rPr>
        <w:t>de l’examen en laboratoire d’analyses</w:t>
      </w:r>
      <w:r w:rsidR="00993AEE">
        <w:rPr>
          <w:rFonts w:ascii="Arial" w:eastAsia="Times New Roman" w:hAnsi="Arial" w:cs="Arial"/>
          <w:color w:val="000000"/>
          <w:lang w:eastAsia="fr-FR"/>
        </w:rPr>
        <w:t xml:space="preserve"> </w:t>
      </w:r>
      <w:r>
        <w:rPr>
          <w:rFonts w:ascii="Arial" w:eastAsia="Times New Roman" w:hAnsi="Arial" w:cs="Arial"/>
          <w:color w:val="000000"/>
          <w:lang w:eastAsia="fr-FR"/>
        </w:rPr>
        <w:t xml:space="preserve">: </w:t>
      </w:r>
      <w:r w:rsidR="00F24A2B">
        <w:rPr>
          <w:rFonts w:ascii="Arial" w:eastAsia="Times New Roman" w:hAnsi="Arial" w:cs="Arial"/>
          <w:color w:val="000000"/>
          <w:lang w:eastAsia="fr-FR"/>
        </w:rPr>
        <w:t xml:space="preserve"> 70 </w:t>
      </w:r>
      <w:r w:rsidR="003E5AE3">
        <w:rPr>
          <w:rFonts w:ascii="Arial" w:eastAsia="Times New Roman" w:hAnsi="Arial" w:cs="Arial"/>
          <w:color w:val="000000"/>
          <w:lang w:eastAsia="fr-FR"/>
        </w:rPr>
        <w:t xml:space="preserve">à 90 </w:t>
      </w:r>
      <w:r>
        <w:rPr>
          <w:rFonts w:ascii="Arial" w:eastAsia="Times New Roman" w:hAnsi="Arial" w:cs="Arial"/>
          <w:color w:val="000000"/>
          <w:lang w:eastAsia="fr-FR"/>
        </w:rPr>
        <w:t>euros e</w:t>
      </w:r>
      <w:r w:rsidR="00F24A2B">
        <w:rPr>
          <w:rFonts w:ascii="Arial" w:eastAsia="Times New Roman" w:hAnsi="Arial" w:cs="Arial"/>
          <w:color w:val="000000"/>
          <w:lang w:eastAsia="fr-FR"/>
        </w:rPr>
        <w:t>n</w:t>
      </w:r>
      <w:r>
        <w:rPr>
          <w:rFonts w:ascii="Arial" w:eastAsia="Times New Roman" w:hAnsi="Arial" w:cs="Arial"/>
          <w:color w:val="000000"/>
          <w:lang w:eastAsia="fr-FR"/>
        </w:rPr>
        <w:t>viron</w:t>
      </w:r>
      <w:r w:rsidR="00F1561E">
        <w:rPr>
          <w:rFonts w:ascii="Arial" w:eastAsia="Times New Roman" w:hAnsi="Arial" w:cs="Arial"/>
          <w:color w:val="000000"/>
          <w:lang w:eastAsia="fr-FR"/>
        </w:rPr>
        <w:t xml:space="preserve">. </w:t>
      </w:r>
    </w:p>
    <w:p w14:paraId="5DC86616" w14:textId="77777777" w:rsidR="00E66B3C" w:rsidRPr="00E66B3C" w:rsidRDefault="00E66B3C" w:rsidP="00E66B3C">
      <w:pPr>
        <w:pStyle w:val="Paragraphedeliste"/>
        <w:spacing w:after="100" w:afterAutospacing="1" w:line="240" w:lineRule="auto"/>
        <w:ind w:left="1440"/>
        <w:rPr>
          <w:rFonts w:ascii="Arial" w:eastAsia="Times New Roman" w:hAnsi="Arial" w:cs="Arial"/>
          <w:color w:val="000000"/>
          <w:lang w:eastAsia="fr-FR"/>
        </w:rPr>
      </w:pPr>
    </w:p>
    <w:p w14:paraId="5C128D13" w14:textId="11DEB06E" w:rsidR="00880538" w:rsidRDefault="00880538" w:rsidP="00880538">
      <w:pPr>
        <w:pStyle w:val="Paragraphedeliste"/>
        <w:spacing w:after="100" w:afterAutospacing="1" w:line="240" w:lineRule="auto"/>
        <w:rPr>
          <w:rFonts w:ascii="Arial" w:eastAsia="Times New Roman" w:hAnsi="Arial" w:cs="Arial"/>
          <w:color w:val="000000"/>
          <w:lang w:eastAsia="fr-FR"/>
        </w:rPr>
      </w:pPr>
      <w:r w:rsidRPr="00880538">
        <w:rPr>
          <w:rFonts w:ascii="Arial" w:eastAsia="Times New Roman" w:hAnsi="Arial" w:cs="Arial"/>
          <w:noProof/>
          <w:color w:val="000000"/>
          <w:lang w:eastAsia="fr-FR"/>
        </w:rPr>
        <w:drawing>
          <wp:inline distT="0" distB="0" distL="0" distR="0" wp14:anchorId="272327C1" wp14:editId="3B646B2B">
            <wp:extent cx="5760720" cy="427990"/>
            <wp:effectExtent l="0" t="0" r="0" b="0"/>
            <wp:docPr id="20589029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02946" name=""/>
                    <pic:cNvPicPr/>
                  </pic:nvPicPr>
                  <pic:blipFill>
                    <a:blip r:embed="rId12"/>
                    <a:stretch>
                      <a:fillRect/>
                    </a:stretch>
                  </pic:blipFill>
                  <pic:spPr>
                    <a:xfrm>
                      <a:off x="0" y="0"/>
                      <a:ext cx="5760720" cy="427990"/>
                    </a:xfrm>
                    <a:prstGeom prst="rect">
                      <a:avLst/>
                    </a:prstGeom>
                  </pic:spPr>
                </pic:pic>
              </a:graphicData>
            </a:graphic>
          </wp:inline>
        </w:drawing>
      </w:r>
    </w:p>
    <w:p w14:paraId="0C0AADB2" w14:textId="487F7CB8" w:rsidR="003E5AE3" w:rsidRDefault="003E5AE3" w:rsidP="004B6F1A">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t xml:space="preserve">Coût du dosage au CHU de Lille </w:t>
      </w:r>
    </w:p>
    <w:p w14:paraId="06A26D56" w14:textId="77777777" w:rsidR="003E5AE3" w:rsidRDefault="003E5AE3" w:rsidP="003E5AE3">
      <w:pPr>
        <w:pStyle w:val="Paragraphedeliste"/>
        <w:spacing w:after="100" w:afterAutospacing="1" w:line="240" w:lineRule="auto"/>
        <w:rPr>
          <w:rFonts w:ascii="Arial" w:eastAsia="Times New Roman" w:hAnsi="Arial" w:cs="Arial"/>
          <w:color w:val="000000"/>
          <w:lang w:eastAsia="fr-FR"/>
        </w:rPr>
      </w:pPr>
    </w:p>
    <w:p w14:paraId="0F916E8A" w14:textId="63F368DC" w:rsidR="00BE28C9" w:rsidRDefault="0097656D" w:rsidP="004B6F1A">
      <w:pPr>
        <w:pStyle w:val="Paragraphedeliste"/>
        <w:numPr>
          <w:ilvl w:val="1"/>
          <w:numId w:val="17"/>
        </w:numPr>
        <w:spacing w:after="100" w:afterAutospacing="1" w:line="240" w:lineRule="auto"/>
        <w:rPr>
          <w:rFonts w:ascii="Arial" w:eastAsia="Times New Roman" w:hAnsi="Arial" w:cs="Arial"/>
          <w:color w:val="000000"/>
          <w:lang w:eastAsia="fr-FR"/>
        </w:rPr>
      </w:pPr>
      <w:r>
        <w:rPr>
          <w:rFonts w:ascii="Arial" w:eastAsia="Times New Roman" w:hAnsi="Arial" w:cs="Arial"/>
          <w:color w:val="000000"/>
          <w:lang w:eastAsia="fr-FR"/>
        </w:rPr>
        <w:lastRenderedPageBreak/>
        <w:t xml:space="preserve">Remboursement Assurance maladie : </w:t>
      </w:r>
      <w:r w:rsidR="009C5181">
        <w:rPr>
          <w:rFonts w:ascii="Arial" w:eastAsia="Times New Roman" w:hAnsi="Arial" w:cs="Arial"/>
          <w:color w:val="000000"/>
          <w:lang w:eastAsia="fr-FR"/>
        </w:rPr>
        <w:t>no</w:t>
      </w:r>
      <w:r w:rsidR="003C1D4F">
        <w:rPr>
          <w:rFonts w:ascii="Arial" w:eastAsia="Times New Roman" w:hAnsi="Arial" w:cs="Arial"/>
          <w:color w:val="000000"/>
          <w:lang w:eastAsia="fr-FR"/>
        </w:rPr>
        <w:t>n !</w:t>
      </w:r>
    </w:p>
    <w:p w14:paraId="7FF96AB6" w14:textId="77777777" w:rsidR="003C1D4F" w:rsidRPr="003C1D4F" w:rsidRDefault="003C1D4F" w:rsidP="003C1D4F">
      <w:pPr>
        <w:spacing w:after="100" w:afterAutospacing="1" w:line="240" w:lineRule="auto"/>
        <w:rPr>
          <w:rFonts w:ascii="Arial" w:eastAsia="Times New Roman" w:hAnsi="Arial" w:cs="Arial"/>
          <w:color w:val="000000"/>
          <w:lang w:eastAsia="fr-FR"/>
        </w:rPr>
      </w:pPr>
    </w:p>
    <w:p w14:paraId="12F8F9E4" w14:textId="58B5DD36" w:rsidR="00BE28C9" w:rsidRPr="00685BD3" w:rsidRDefault="0024068C" w:rsidP="004B6F1A">
      <w:pPr>
        <w:spacing w:after="100" w:afterAutospacing="1" w:line="240" w:lineRule="auto"/>
        <w:rPr>
          <w:rFonts w:ascii="Arial" w:eastAsia="Times New Roman" w:hAnsi="Arial" w:cs="Arial"/>
          <w:b/>
          <w:bCs/>
          <w:color w:val="000000"/>
          <w:sz w:val="24"/>
          <w:szCs w:val="24"/>
          <w:lang w:eastAsia="fr-FR"/>
        </w:rPr>
      </w:pPr>
      <w:r w:rsidRPr="00685BD3">
        <w:rPr>
          <w:rFonts w:ascii="Arial" w:eastAsia="Times New Roman" w:hAnsi="Arial" w:cs="Arial"/>
          <w:b/>
          <w:bCs/>
          <w:color w:val="000000"/>
          <w:sz w:val="24"/>
          <w:szCs w:val="24"/>
          <w:lang w:eastAsia="fr-FR"/>
        </w:rPr>
        <w:t xml:space="preserve">Valeurs de référence de la PEth : </w:t>
      </w:r>
    </w:p>
    <w:p w14:paraId="11088A38" w14:textId="7F134440" w:rsidR="00132198" w:rsidRPr="00685BD3" w:rsidRDefault="00BE28C9" w:rsidP="00F41100">
      <w:pPr>
        <w:pStyle w:val="Paragraphedeliste"/>
        <w:numPr>
          <w:ilvl w:val="0"/>
          <w:numId w:val="19"/>
        </w:numPr>
        <w:spacing w:after="100" w:afterAutospacing="1" w:line="240" w:lineRule="auto"/>
        <w:rPr>
          <w:rFonts w:ascii="Arial" w:eastAsia="Times New Roman" w:hAnsi="Arial" w:cs="Arial"/>
          <w:b/>
          <w:bCs/>
          <w:color w:val="000000"/>
          <w:sz w:val="24"/>
          <w:szCs w:val="24"/>
          <w:lang w:eastAsia="fr-FR"/>
        </w:rPr>
      </w:pPr>
      <w:r w:rsidRPr="00685BD3">
        <w:rPr>
          <w:rFonts w:ascii="Arial" w:eastAsia="Times New Roman" w:hAnsi="Arial" w:cs="Arial"/>
          <w:b/>
          <w:bCs/>
          <w:color w:val="000000"/>
          <w:sz w:val="24"/>
          <w:szCs w:val="24"/>
          <w:lang w:eastAsia="fr-FR"/>
        </w:rPr>
        <w:t>Valeurs de la PEth selon la consommation récente d’alcool (Document Faculeit Farmeutische Wetenschappen)</w:t>
      </w:r>
    </w:p>
    <w:p w14:paraId="6EBC6DFA" w14:textId="77777777" w:rsidR="00BE28C9" w:rsidRPr="00BE28C9" w:rsidRDefault="00BE28C9" w:rsidP="004B6F1A">
      <w:pPr>
        <w:spacing w:after="100" w:afterAutospacing="1" w:line="240" w:lineRule="auto"/>
        <w:rPr>
          <w:rFonts w:ascii="Arial" w:eastAsia="Times New Roman" w:hAnsi="Arial" w:cs="Arial"/>
          <w:b/>
          <w:bCs/>
          <w:color w:val="000000"/>
          <w:lang w:eastAsia="fr-FR"/>
        </w:rPr>
      </w:pPr>
    </w:p>
    <w:p w14:paraId="390685BE" w14:textId="2E9BA2FC" w:rsidR="00132198" w:rsidRDefault="00BE28C9" w:rsidP="004B6F1A">
      <w:pPr>
        <w:spacing w:after="100" w:afterAutospacing="1" w:line="240" w:lineRule="auto"/>
        <w:rPr>
          <w:rFonts w:ascii="Arial" w:eastAsia="Times New Roman" w:hAnsi="Arial" w:cs="Arial"/>
          <w:color w:val="000000"/>
          <w:lang w:eastAsia="fr-FR"/>
        </w:rPr>
      </w:pPr>
      <w:r w:rsidRPr="00BE28C9">
        <w:rPr>
          <w:rFonts w:ascii="Arial" w:eastAsia="Times New Roman" w:hAnsi="Arial" w:cs="Arial"/>
          <w:noProof/>
          <w:color w:val="000000"/>
          <w:lang w:eastAsia="fr-FR"/>
        </w:rPr>
        <w:drawing>
          <wp:inline distT="0" distB="0" distL="0" distR="0" wp14:anchorId="23C87358" wp14:editId="5D6D42F7">
            <wp:extent cx="6469260" cy="1600200"/>
            <wp:effectExtent l="0" t="0" r="8255" b="0"/>
            <wp:docPr id="109464932" name="Image 1" descr="Une image contenant texte, ligne,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4932" name="Image 1" descr="Une image contenant texte, ligne, Police, nombre&#10;&#10;Description générée automatiquement"/>
                    <pic:cNvPicPr/>
                  </pic:nvPicPr>
                  <pic:blipFill>
                    <a:blip r:embed="rId13"/>
                    <a:stretch>
                      <a:fillRect/>
                    </a:stretch>
                  </pic:blipFill>
                  <pic:spPr>
                    <a:xfrm>
                      <a:off x="0" y="0"/>
                      <a:ext cx="6479127" cy="1602641"/>
                    </a:xfrm>
                    <a:prstGeom prst="rect">
                      <a:avLst/>
                    </a:prstGeom>
                  </pic:spPr>
                </pic:pic>
              </a:graphicData>
            </a:graphic>
          </wp:inline>
        </w:drawing>
      </w:r>
    </w:p>
    <w:p w14:paraId="74F5B15C" w14:textId="77777777" w:rsidR="00870824" w:rsidRPr="00685BD3" w:rsidRDefault="00870824" w:rsidP="004B6F1A">
      <w:pPr>
        <w:spacing w:after="100" w:afterAutospacing="1" w:line="240" w:lineRule="auto"/>
        <w:rPr>
          <w:rFonts w:ascii="Arial" w:eastAsia="Times New Roman" w:hAnsi="Arial" w:cs="Arial"/>
          <w:color w:val="000000"/>
          <w:sz w:val="24"/>
          <w:szCs w:val="24"/>
          <w:lang w:eastAsia="fr-FR"/>
        </w:rPr>
      </w:pPr>
    </w:p>
    <w:p w14:paraId="11F9C7BD" w14:textId="10659649" w:rsidR="00065390" w:rsidRPr="00685BD3" w:rsidRDefault="00065390" w:rsidP="00F41100">
      <w:pPr>
        <w:pStyle w:val="Paragraphedeliste"/>
        <w:numPr>
          <w:ilvl w:val="0"/>
          <w:numId w:val="19"/>
        </w:numPr>
        <w:spacing w:after="100" w:afterAutospacing="1" w:line="240" w:lineRule="auto"/>
        <w:rPr>
          <w:rFonts w:ascii="Arial" w:eastAsia="Times New Roman" w:hAnsi="Arial" w:cs="Arial"/>
          <w:b/>
          <w:bCs/>
          <w:color w:val="000000"/>
          <w:sz w:val="24"/>
          <w:szCs w:val="24"/>
          <w:lang w:eastAsia="fr-FR"/>
        </w:rPr>
      </w:pPr>
      <w:r w:rsidRPr="00685BD3">
        <w:rPr>
          <w:rFonts w:ascii="Arial" w:eastAsia="Times New Roman" w:hAnsi="Arial" w:cs="Arial"/>
          <w:b/>
          <w:bCs/>
          <w:color w:val="000000"/>
          <w:sz w:val="24"/>
          <w:szCs w:val="24"/>
          <w:lang w:eastAsia="fr-FR"/>
        </w:rPr>
        <w:t xml:space="preserve">Tableau proposé par le </w:t>
      </w:r>
      <w:r w:rsidR="00D17BC8" w:rsidRPr="00685BD3">
        <w:rPr>
          <w:rFonts w:ascii="Arial" w:eastAsia="Times New Roman" w:hAnsi="Arial" w:cs="Arial"/>
          <w:b/>
          <w:bCs/>
          <w:color w:val="000000"/>
          <w:sz w:val="24"/>
          <w:szCs w:val="24"/>
          <w:lang w:eastAsia="fr-FR"/>
        </w:rPr>
        <w:t>laboratoire CERBA</w:t>
      </w:r>
      <w:r w:rsidR="00D057D9" w:rsidRPr="00685BD3">
        <w:rPr>
          <w:rFonts w:ascii="Arial" w:eastAsia="Times New Roman" w:hAnsi="Arial" w:cs="Arial"/>
          <w:b/>
          <w:bCs/>
          <w:color w:val="000000"/>
          <w:sz w:val="24"/>
          <w:szCs w:val="24"/>
          <w:lang w:eastAsia="fr-FR"/>
        </w:rPr>
        <w:t> : Taux de PEht</w:t>
      </w:r>
    </w:p>
    <w:p w14:paraId="285D9E9D" w14:textId="6E386D2A" w:rsidR="0097656D" w:rsidRDefault="00065390" w:rsidP="004B6F1A">
      <w:pPr>
        <w:spacing w:after="100" w:afterAutospacing="1" w:line="240" w:lineRule="auto"/>
        <w:rPr>
          <w:rFonts w:ascii="Arial" w:eastAsia="Times New Roman" w:hAnsi="Arial" w:cs="Arial"/>
          <w:color w:val="000000"/>
          <w:lang w:eastAsia="fr-FR"/>
        </w:rPr>
      </w:pPr>
      <w:r w:rsidRPr="00065390">
        <w:rPr>
          <w:rFonts w:ascii="Arial" w:eastAsia="Times New Roman" w:hAnsi="Arial" w:cs="Arial"/>
          <w:noProof/>
          <w:color w:val="000000"/>
          <w:lang w:eastAsia="fr-FR"/>
        </w:rPr>
        <w:drawing>
          <wp:inline distT="0" distB="0" distL="0" distR="0" wp14:anchorId="21D769A6" wp14:editId="030E0C7E">
            <wp:extent cx="4457700" cy="2690158"/>
            <wp:effectExtent l="0" t="0" r="0" b="0"/>
            <wp:docPr id="1334059938" name="Image 1"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59938" name="Image 1" descr="Une image contenant texte, capture d’écran, Police, conception&#10;&#10;Description générée automatiquement"/>
                    <pic:cNvPicPr/>
                  </pic:nvPicPr>
                  <pic:blipFill>
                    <a:blip r:embed="rId14"/>
                    <a:stretch>
                      <a:fillRect/>
                    </a:stretch>
                  </pic:blipFill>
                  <pic:spPr>
                    <a:xfrm>
                      <a:off x="0" y="0"/>
                      <a:ext cx="4472313" cy="2698977"/>
                    </a:xfrm>
                    <a:prstGeom prst="rect">
                      <a:avLst/>
                    </a:prstGeom>
                  </pic:spPr>
                </pic:pic>
              </a:graphicData>
            </a:graphic>
          </wp:inline>
        </w:drawing>
      </w:r>
    </w:p>
    <w:p w14:paraId="0E7BD4AC" w14:textId="77777777" w:rsidR="0097656D" w:rsidRDefault="0097656D" w:rsidP="004B6F1A">
      <w:pPr>
        <w:spacing w:after="100" w:afterAutospacing="1" w:line="240" w:lineRule="auto"/>
        <w:rPr>
          <w:rFonts w:ascii="Arial" w:eastAsia="Times New Roman" w:hAnsi="Arial" w:cs="Arial"/>
          <w:color w:val="000000"/>
          <w:lang w:eastAsia="fr-FR"/>
        </w:rPr>
      </w:pPr>
    </w:p>
    <w:p w14:paraId="3160B77A" w14:textId="55A40CF8" w:rsidR="00132198" w:rsidRPr="00F41100" w:rsidRDefault="00132198" w:rsidP="00F41100">
      <w:pPr>
        <w:pStyle w:val="Paragraphedeliste"/>
        <w:numPr>
          <w:ilvl w:val="0"/>
          <w:numId w:val="19"/>
        </w:numPr>
        <w:spacing w:after="100" w:afterAutospacing="1" w:line="240" w:lineRule="auto"/>
        <w:rPr>
          <w:rFonts w:ascii="Arial" w:eastAsia="Times New Roman" w:hAnsi="Arial" w:cs="Arial"/>
          <w:b/>
          <w:bCs/>
          <w:color w:val="000000"/>
          <w:sz w:val="24"/>
          <w:szCs w:val="24"/>
          <w:lang w:eastAsia="fr-FR"/>
        </w:rPr>
      </w:pPr>
      <w:r w:rsidRPr="00F41100">
        <w:rPr>
          <w:rFonts w:ascii="Arial" w:eastAsia="Times New Roman" w:hAnsi="Arial" w:cs="Arial"/>
          <w:b/>
          <w:bCs/>
          <w:color w:val="000000"/>
          <w:sz w:val="24"/>
          <w:szCs w:val="24"/>
          <w:lang w:eastAsia="fr-FR"/>
        </w:rPr>
        <w:t xml:space="preserve">Comparaison des résultats PEth/CDT selon la consommation d’alcool </w:t>
      </w:r>
    </w:p>
    <w:p w14:paraId="3577E9A4" w14:textId="31E26845" w:rsidR="007E3292" w:rsidRDefault="00895ACF" w:rsidP="00D163B6">
      <w:pPr>
        <w:rPr>
          <w:lang w:eastAsia="fr-FR"/>
        </w:rPr>
      </w:pPr>
      <w:r w:rsidRPr="00895ACF">
        <w:rPr>
          <w:noProof/>
          <w:lang w:eastAsia="fr-FR"/>
        </w:rPr>
        <w:lastRenderedPageBreak/>
        <w:drawing>
          <wp:inline distT="0" distB="0" distL="0" distR="0" wp14:anchorId="55C6E413" wp14:editId="12E21EFB">
            <wp:extent cx="6399533" cy="3562350"/>
            <wp:effectExtent l="0" t="0" r="1270" b="0"/>
            <wp:docPr id="1224496012"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96012" name="Image 1" descr="Une image contenant texte, capture d’écran, nombre, Police&#10;&#10;Description générée automatiquement"/>
                    <pic:cNvPicPr/>
                  </pic:nvPicPr>
                  <pic:blipFill>
                    <a:blip r:embed="rId15"/>
                    <a:stretch>
                      <a:fillRect/>
                    </a:stretch>
                  </pic:blipFill>
                  <pic:spPr>
                    <a:xfrm>
                      <a:off x="0" y="0"/>
                      <a:ext cx="6403265" cy="3564427"/>
                    </a:xfrm>
                    <a:prstGeom prst="rect">
                      <a:avLst/>
                    </a:prstGeom>
                  </pic:spPr>
                </pic:pic>
              </a:graphicData>
            </a:graphic>
          </wp:inline>
        </w:drawing>
      </w:r>
    </w:p>
    <w:p w14:paraId="6DABB2DA" w14:textId="77777777" w:rsidR="003C1D4F" w:rsidRPr="004B6F1A" w:rsidRDefault="003C1D4F" w:rsidP="00D163B6">
      <w:pPr>
        <w:rPr>
          <w:lang w:eastAsia="fr-FR"/>
        </w:rPr>
      </w:pPr>
    </w:p>
    <w:p w14:paraId="1F28AB6B" w14:textId="549EDF85" w:rsidR="00882015" w:rsidRDefault="00882015" w:rsidP="00882015">
      <w:pPr>
        <w:spacing w:after="100" w:afterAutospacing="1" w:line="240" w:lineRule="auto"/>
        <w:rPr>
          <w:rFonts w:ascii="Arial" w:eastAsia="Times New Roman" w:hAnsi="Arial" w:cs="Arial"/>
          <w:color w:val="000000"/>
          <w:lang w:eastAsia="fr-FR"/>
        </w:rPr>
      </w:pPr>
      <w:r w:rsidRPr="004B6F1A">
        <w:rPr>
          <w:rFonts w:ascii="Arial" w:eastAsia="Times New Roman" w:hAnsi="Arial" w:cs="Arial"/>
          <w:color w:val="000000"/>
          <w:lang w:eastAsia="fr-FR"/>
        </w:rPr>
        <w:t>Cela en fait un</w:t>
      </w:r>
      <w:r>
        <w:rPr>
          <w:rFonts w:ascii="Arial" w:eastAsia="Times New Roman" w:hAnsi="Arial" w:cs="Arial"/>
          <w:color w:val="000000"/>
          <w:lang w:eastAsia="fr-FR"/>
        </w:rPr>
        <w:t xml:space="preserve"> </w:t>
      </w:r>
      <w:r w:rsidRPr="004B6F1A">
        <w:rPr>
          <w:rFonts w:ascii="Arial" w:eastAsia="Times New Roman" w:hAnsi="Arial" w:cs="Arial"/>
          <w:color w:val="000000"/>
          <w:lang w:eastAsia="fr-FR"/>
        </w:rPr>
        <w:t>marqueur très spécifique beaucoup plus spécifique que les marqueurs actuellement utilisés pour la</w:t>
      </w:r>
      <w:r>
        <w:rPr>
          <w:rFonts w:ascii="Arial" w:eastAsia="Times New Roman" w:hAnsi="Arial" w:cs="Arial"/>
          <w:color w:val="000000"/>
          <w:lang w:eastAsia="fr-FR"/>
        </w:rPr>
        <w:t xml:space="preserve"> </w:t>
      </w:r>
      <w:r w:rsidRPr="004B6F1A">
        <w:rPr>
          <w:rFonts w:ascii="Arial" w:eastAsia="Times New Roman" w:hAnsi="Arial" w:cs="Arial"/>
          <w:color w:val="000000"/>
          <w:lang w:eastAsia="fr-FR"/>
        </w:rPr>
        <w:t xml:space="preserve">surveillance (de l'absence) d'abus d'alcool (%CDT, GGT, </w:t>
      </w:r>
      <w:r w:rsidR="003E5AE3">
        <w:rPr>
          <w:rFonts w:ascii="Arial" w:eastAsia="Times New Roman" w:hAnsi="Arial" w:cs="Arial"/>
          <w:color w:val="000000"/>
          <w:lang w:eastAsia="fr-FR"/>
        </w:rPr>
        <w:t>TGO</w:t>
      </w:r>
      <w:r w:rsidRPr="004B6F1A">
        <w:rPr>
          <w:rFonts w:ascii="Arial" w:eastAsia="Times New Roman" w:hAnsi="Arial" w:cs="Arial"/>
          <w:color w:val="000000"/>
          <w:lang w:eastAsia="fr-FR"/>
        </w:rPr>
        <w:t xml:space="preserve">, </w:t>
      </w:r>
      <w:r w:rsidR="003E5AE3">
        <w:rPr>
          <w:rFonts w:ascii="Arial" w:eastAsia="Times New Roman" w:hAnsi="Arial" w:cs="Arial"/>
          <w:color w:val="000000"/>
          <w:lang w:eastAsia="fr-FR"/>
        </w:rPr>
        <w:t xml:space="preserve">TGP </w:t>
      </w:r>
      <w:r w:rsidRPr="004B6F1A">
        <w:rPr>
          <w:rFonts w:ascii="Arial" w:eastAsia="Times New Roman" w:hAnsi="Arial" w:cs="Arial"/>
          <w:color w:val="000000"/>
          <w:lang w:eastAsia="fr-FR"/>
        </w:rPr>
        <w:t xml:space="preserve">et </w:t>
      </w:r>
      <w:r w:rsidR="003E5AE3">
        <w:rPr>
          <w:rFonts w:ascii="Arial" w:eastAsia="Times New Roman" w:hAnsi="Arial" w:cs="Arial"/>
          <w:color w:val="000000"/>
          <w:lang w:eastAsia="fr-FR"/>
        </w:rPr>
        <w:t>VGM</w:t>
      </w:r>
      <w:r w:rsidRPr="004B6F1A">
        <w:rPr>
          <w:rFonts w:ascii="Arial" w:eastAsia="Times New Roman" w:hAnsi="Arial" w:cs="Arial"/>
          <w:color w:val="000000"/>
          <w:lang w:eastAsia="fr-FR"/>
        </w:rPr>
        <w:t>)</w:t>
      </w:r>
    </w:p>
    <w:p w14:paraId="23D4DC60" w14:textId="77777777" w:rsidR="00BE782F" w:rsidRDefault="00BE782F" w:rsidP="00882015">
      <w:pPr>
        <w:spacing w:after="100" w:afterAutospacing="1" w:line="240" w:lineRule="auto"/>
        <w:rPr>
          <w:rFonts w:ascii="Arial" w:eastAsia="Times New Roman" w:hAnsi="Arial" w:cs="Arial"/>
          <w:color w:val="000000"/>
          <w:lang w:eastAsia="fr-FR"/>
        </w:rPr>
      </w:pPr>
    </w:p>
    <w:p w14:paraId="673D774B" w14:textId="77777777" w:rsidR="00BE782F" w:rsidRDefault="00BE782F" w:rsidP="00882015">
      <w:pPr>
        <w:spacing w:after="100" w:afterAutospacing="1" w:line="240" w:lineRule="auto"/>
        <w:rPr>
          <w:rFonts w:ascii="Arial" w:eastAsia="Times New Roman" w:hAnsi="Arial" w:cs="Arial"/>
          <w:color w:val="000000"/>
          <w:lang w:eastAsia="fr-FR"/>
        </w:rPr>
      </w:pPr>
    </w:p>
    <w:p w14:paraId="6E2B7D5A" w14:textId="77777777" w:rsidR="003C1D4F" w:rsidRDefault="00971441" w:rsidP="00882015">
      <w:pPr>
        <w:spacing w:after="100" w:afterAutospacing="1" w:line="240" w:lineRule="auto"/>
        <w:rPr>
          <w:rFonts w:ascii="Arial" w:hAnsi="Arial" w:cs="Arial"/>
        </w:rPr>
      </w:pPr>
      <w:r w:rsidRPr="003C1D4F">
        <w:rPr>
          <w:rFonts w:ascii="Arial" w:hAnsi="Arial" w:cs="Arial"/>
          <w:b/>
          <w:bCs/>
        </w:rPr>
        <w:t>Le PEth dans la pratique clinique</w:t>
      </w:r>
    </w:p>
    <w:p w14:paraId="19618D9A" w14:textId="6EF9547F" w:rsidR="00971441" w:rsidRPr="00F41100" w:rsidRDefault="00971441" w:rsidP="00882015">
      <w:pPr>
        <w:spacing w:after="100" w:afterAutospacing="1" w:line="240" w:lineRule="auto"/>
        <w:rPr>
          <w:rFonts w:ascii="Arial" w:hAnsi="Arial" w:cs="Arial"/>
        </w:rPr>
      </w:pPr>
      <w:r w:rsidRPr="00F41100">
        <w:rPr>
          <w:rFonts w:ascii="Arial" w:hAnsi="Arial" w:cs="Arial"/>
        </w:rPr>
        <w:t xml:space="preserve"> Le PEth est un marqueur direct des usages de l’alcool, spécifique, précis et proportionnel. La durée de vie du PEth est longue, de 4 à 8 semaines.</w:t>
      </w:r>
    </w:p>
    <w:p w14:paraId="6F705D36" w14:textId="77777777" w:rsidR="00971441" w:rsidRPr="00F41100" w:rsidRDefault="00971441" w:rsidP="00882015">
      <w:pPr>
        <w:spacing w:after="100" w:afterAutospacing="1" w:line="240" w:lineRule="auto"/>
        <w:rPr>
          <w:rFonts w:ascii="Arial" w:hAnsi="Arial" w:cs="Arial"/>
        </w:rPr>
      </w:pPr>
      <w:r w:rsidRPr="00F41100">
        <w:rPr>
          <w:rFonts w:ascii="Arial" w:hAnsi="Arial" w:cs="Arial"/>
        </w:rPr>
        <w:t xml:space="preserve"> Nous proposons une grille de lecture des mesures du PEth. Elle évalue les quantités consommées, les risques ou les réalités du sevrage. PEth en nanogramme par mL </w:t>
      </w:r>
    </w:p>
    <w:p w14:paraId="665615BF" w14:textId="77777777" w:rsidR="00971441" w:rsidRPr="00BE561E" w:rsidRDefault="00971441" w:rsidP="00882015">
      <w:pPr>
        <w:spacing w:after="100" w:afterAutospacing="1" w:line="240" w:lineRule="auto"/>
        <w:rPr>
          <w:rFonts w:ascii="Arial" w:hAnsi="Arial" w:cs="Arial"/>
          <w:i/>
          <w:iCs/>
        </w:rPr>
      </w:pPr>
      <w:r w:rsidRPr="00BE561E">
        <w:rPr>
          <w:rFonts w:ascii="Arial" w:hAnsi="Arial" w:cs="Arial"/>
          <w:i/>
          <w:iCs/>
        </w:rPr>
        <w:t xml:space="preserve">Risques à envisager </w:t>
      </w:r>
    </w:p>
    <w:p w14:paraId="38329A90" w14:textId="55030B2E" w:rsidR="009D13D5" w:rsidRDefault="009D13D5" w:rsidP="00882015">
      <w:pPr>
        <w:spacing w:after="100" w:afterAutospacing="1" w:line="240" w:lineRule="auto"/>
      </w:pPr>
      <w:r w:rsidRPr="009D13D5">
        <w:rPr>
          <w:noProof/>
        </w:rPr>
        <w:drawing>
          <wp:inline distT="0" distB="0" distL="0" distR="0" wp14:anchorId="70D0B408" wp14:editId="44398E6E">
            <wp:extent cx="6177186" cy="1685925"/>
            <wp:effectExtent l="0" t="0" r="0" b="0"/>
            <wp:docPr id="921065055"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65055" name="Image 1" descr="Une image contenant texte, capture d’écran, Police, nombre&#10;&#10;Description générée automatiquement"/>
                    <pic:cNvPicPr/>
                  </pic:nvPicPr>
                  <pic:blipFill>
                    <a:blip r:embed="rId16"/>
                    <a:stretch>
                      <a:fillRect/>
                    </a:stretch>
                  </pic:blipFill>
                  <pic:spPr>
                    <a:xfrm>
                      <a:off x="0" y="0"/>
                      <a:ext cx="6179391" cy="1686527"/>
                    </a:xfrm>
                    <a:prstGeom prst="rect">
                      <a:avLst/>
                    </a:prstGeom>
                  </pic:spPr>
                </pic:pic>
              </a:graphicData>
            </a:graphic>
          </wp:inline>
        </w:drawing>
      </w:r>
    </w:p>
    <w:p w14:paraId="7346570C" w14:textId="7DC7856A" w:rsidR="009D13D5" w:rsidRDefault="00993AEE" w:rsidP="00882015">
      <w:pPr>
        <w:spacing w:after="100" w:afterAutospacing="1" w:line="240" w:lineRule="auto"/>
        <w:rPr>
          <w:rFonts w:ascii="Arial" w:hAnsi="Arial" w:cs="Arial"/>
        </w:rPr>
      </w:pPr>
      <w:r>
        <w:rPr>
          <w:rFonts w:ascii="Arial" w:hAnsi="Arial" w:cs="Arial"/>
        </w:rPr>
        <w:lastRenderedPageBreak/>
        <w:t>« </w:t>
      </w:r>
      <w:r w:rsidR="00971441" w:rsidRPr="00F41100">
        <w:rPr>
          <w:rFonts w:ascii="Arial" w:hAnsi="Arial" w:cs="Arial"/>
        </w:rPr>
        <w:t>Disposer d’un marqueur des usages de l’alcool est un outil de dialogue et de soin. Dans les situations juridiques, c’est un élément de preuve solide. Il existe peu de tests aussi concluants et probants que le PEth !</w:t>
      </w:r>
      <w:r>
        <w:rPr>
          <w:rFonts w:ascii="Arial" w:hAnsi="Arial" w:cs="Arial"/>
        </w:rPr>
        <w:t xml:space="preserve"> » </w:t>
      </w:r>
      <w:r w:rsidR="00971441" w:rsidRPr="00F41100">
        <w:rPr>
          <w:rFonts w:ascii="Arial" w:hAnsi="Arial" w:cs="Arial"/>
        </w:rPr>
        <w:t xml:space="preserve">(Kim Smith 2008-33) </w:t>
      </w:r>
    </w:p>
    <w:p w14:paraId="5626C99C" w14:textId="77777777" w:rsidR="00786FF0" w:rsidRDefault="00786FF0" w:rsidP="00882015">
      <w:pPr>
        <w:spacing w:after="100" w:afterAutospacing="1" w:line="240" w:lineRule="auto"/>
        <w:rPr>
          <w:rFonts w:ascii="Arial" w:hAnsi="Arial" w:cs="Arial"/>
        </w:rPr>
      </w:pPr>
    </w:p>
    <w:p w14:paraId="19F445C4" w14:textId="77777777" w:rsidR="00786FF0" w:rsidRPr="00F41100" w:rsidRDefault="00786FF0" w:rsidP="00882015">
      <w:pPr>
        <w:spacing w:after="100" w:afterAutospacing="1" w:line="240" w:lineRule="auto"/>
        <w:rPr>
          <w:rFonts w:ascii="Arial" w:hAnsi="Arial" w:cs="Arial"/>
        </w:rPr>
      </w:pPr>
    </w:p>
    <w:p w14:paraId="5CEB5A92" w14:textId="67523D11" w:rsidR="00F41100" w:rsidRPr="003C1D4F" w:rsidRDefault="00E45A67" w:rsidP="009D13D5">
      <w:pPr>
        <w:spacing w:after="100" w:afterAutospacing="1" w:line="240" w:lineRule="auto"/>
        <w:rPr>
          <w:rFonts w:ascii="Arial" w:hAnsi="Arial" w:cs="Arial"/>
          <w:b/>
          <w:bCs/>
        </w:rPr>
      </w:pPr>
      <w:r>
        <w:rPr>
          <w:rFonts w:ascii="Arial" w:hAnsi="Arial" w:cs="Arial"/>
          <w:b/>
          <w:bCs/>
          <w:sz w:val="28"/>
          <w:szCs w:val="28"/>
        </w:rPr>
        <w:t>Synthèse</w:t>
      </w:r>
    </w:p>
    <w:p w14:paraId="1753CC6D" w14:textId="12152EB1" w:rsidR="007E3292" w:rsidRDefault="00971441" w:rsidP="009D13D5">
      <w:pPr>
        <w:spacing w:after="100" w:afterAutospacing="1" w:line="240" w:lineRule="auto"/>
        <w:rPr>
          <w:rFonts w:ascii="Arial" w:hAnsi="Arial" w:cs="Arial"/>
        </w:rPr>
      </w:pPr>
      <w:r w:rsidRPr="00F41100">
        <w:rPr>
          <w:rFonts w:ascii="Arial" w:hAnsi="Arial" w:cs="Arial"/>
        </w:rPr>
        <w:t xml:space="preserve"> Le phosphatidyléthanol (PEth) est un marqueur direct des usages de l’alcool. Un marqueur parfaitement spécifique du contact des cellules avec l’éthanol. A ce jour, aucune interaction n’a été signalée avec des traitements ou des pathologies. Le PEth a une durée de vie longue, il reste détectable 4 semaines après un épisode de consommations excessives. En comparaison, les marqueurs indirects (VGM, GGT… et Cdt) apparaissent peu sensibles. </w:t>
      </w:r>
    </w:p>
    <w:p w14:paraId="72EA7D4A" w14:textId="77777777" w:rsidR="00F41100" w:rsidRDefault="00F41100" w:rsidP="009D13D5">
      <w:pPr>
        <w:spacing w:after="100" w:afterAutospacing="1" w:line="240" w:lineRule="auto"/>
        <w:rPr>
          <w:rFonts w:ascii="Arial" w:hAnsi="Arial" w:cs="Arial"/>
        </w:rPr>
      </w:pPr>
    </w:p>
    <w:p w14:paraId="6EE44D32" w14:textId="49807811" w:rsidR="00786FF0" w:rsidRDefault="00F41100" w:rsidP="009D13D5">
      <w:pPr>
        <w:spacing w:after="100" w:afterAutospacing="1" w:line="240" w:lineRule="auto"/>
        <w:rPr>
          <w:rFonts w:ascii="Arial" w:hAnsi="Arial" w:cs="Arial"/>
        </w:rPr>
      </w:pPr>
      <w:r w:rsidRPr="00BE782F">
        <w:rPr>
          <w:rFonts w:ascii="Arial" w:hAnsi="Arial" w:cs="Arial"/>
          <w:b/>
          <w:bCs/>
          <w:sz w:val="28"/>
          <w:szCs w:val="28"/>
        </w:rPr>
        <w:t>Proposition</w:t>
      </w:r>
      <w:r w:rsidRPr="003C1D4F">
        <w:rPr>
          <w:rFonts w:ascii="Arial" w:hAnsi="Arial" w:cs="Arial"/>
          <w:b/>
          <w:bCs/>
        </w:rPr>
        <w:t> </w:t>
      </w:r>
      <w:r>
        <w:rPr>
          <w:rFonts w:ascii="Arial" w:hAnsi="Arial" w:cs="Arial"/>
        </w:rPr>
        <w:t xml:space="preserve">: Le taux de CDT </w:t>
      </w:r>
      <w:r w:rsidR="00BE561E">
        <w:rPr>
          <w:rFonts w:ascii="Arial" w:hAnsi="Arial" w:cs="Arial"/>
        </w:rPr>
        <w:t>accompagné de la connaissance du VGM</w:t>
      </w:r>
      <w:r w:rsidR="00BE782F">
        <w:rPr>
          <w:rFonts w:ascii="Arial" w:hAnsi="Arial" w:cs="Arial"/>
        </w:rPr>
        <w:t xml:space="preserve">, </w:t>
      </w:r>
      <w:r w:rsidR="00BE561E">
        <w:rPr>
          <w:rFonts w:ascii="Arial" w:hAnsi="Arial" w:cs="Arial"/>
        </w:rPr>
        <w:t xml:space="preserve">des Gamma GT et de l’examen clinique </w:t>
      </w:r>
      <w:r>
        <w:rPr>
          <w:rFonts w:ascii="Arial" w:hAnsi="Arial" w:cs="Arial"/>
        </w:rPr>
        <w:t>est un test bien connu des médecins et des usagers de la route ayant des soucis avec l’alcool au volant.</w:t>
      </w:r>
      <w:r w:rsidR="00EC179A">
        <w:rPr>
          <w:rFonts w:ascii="Arial" w:hAnsi="Arial" w:cs="Arial"/>
        </w:rPr>
        <w:t xml:space="preserve"> Il semble demeurer très utile pour des taux inférieurs à la limite supérieure de la normale, c’est à dire 1,7</w:t>
      </w:r>
      <w:r w:rsidR="00A5214E">
        <w:rPr>
          <w:rFonts w:ascii="Arial" w:hAnsi="Arial" w:cs="Arial"/>
        </w:rPr>
        <w:t>%</w:t>
      </w:r>
      <w:r w:rsidR="004F5C02">
        <w:rPr>
          <w:rFonts w:ascii="Arial" w:hAnsi="Arial" w:cs="Arial"/>
        </w:rPr>
        <w:t xml:space="preserve"> </w:t>
      </w:r>
      <w:r w:rsidR="007201A7">
        <w:rPr>
          <w:rFonts w:ascii="Arial" w:hAnsi="Arial" w:cs="Arial"/>
        </w:rPr>
        <w:t>inclus.</w:t>
      </w:r>
      <w:r w:rsidR="00EC179A">
        <w:rPr>
          <w:rFonts w:ascii="Arial" w:hAnsi="Arial" w:cs="Arial"/>
        </w:rPr>
        <w:t xml:space="preserve"> </w:t>
      </w:r>
    </w:p>
    <w:p w14:paraId="08CDF75A" w14:textId="155FE157" w:rsidR="00786FF0" w:rsidRDefault="00EC179A" w:rsidP="009D13D5">
      <w:pPr>
        <w:spacing w:after="100" w:afterAutospacing="1" w:line="240" w:lineRule="auto"/>
        <w:rPr>
          <w:rFonts w:ascii="Arial" w:hAnsi="Arial" w:cs="Arial"/>
        </w:rPr>
      </w:pPr>
      <w:r>
        <w:rPr>
          <w:rFonts w:ascii="Arial" w:hAnsi="Arial" w:cs="Arial"/>
        </w:rPr>
        <w:t xml:space="preserve">L’intervalle </w:t>
      </w:r>
      <w:r w:rsidR="00A5214E">
        <w:rPr>
          <w:rFonts w:ascii="Arial" w:hAnsi="Arial" w:cs="Arial"/>
        </w:rPr>
        <w:t xml:space="preserve">1,8% à 1,9% est beaucoup plus difficile à analyser et il est souvent demandé un nouveau dosage dans les 3 à 4 semaines. </w:t>
      </w:r>
      <w:r w:rsidR="00D76564">
        <w:rPr>
          <w:rFonts w:ascii="Arial" w:hAnsi="Arial" w:cs="Arial"/>
        </w:rPr>
        <w:t>Il est alors proposé au conducteur la mis</w:t>
      </w:r>
      <w:r w:rsidR="00BE561E">
        <w:rPr>
          <w:rFonts w:ascii="Arial" w:hAnsi="Arial" w:cs="Arial"/>
        </w:rPr>
        <w:t xml:space="preserve">e en instance du dossier en attendant les nouveaux résultats </w:t>
      </w:r>
    </w:p>
    <w:p w14:paraId="2209F8E2" w14:textId="504D6487" w:rsidR="00F41100" w:rsidRDefault="00A5214E" w:rsidP="009D13D5">
      <w:pPr>
        <w:spacing w:after="100" w:afterAutospacing="1" w:line="240" w:lineRule="auto"/>
        <w:rPr>
          <w:rFonts w:ascii="Arial" w:hAnsi="Arial" w:cs="Arial"/>
        </w:rPr>
      </w:pPr>
      <w:r>
        <w:rPr>
          <w:rFonts w:ascii="Arial" w:hAnsi="Arial" w:cs="Arial"/>
        </w:rPr>
        <w:t xml:space="preserve">Un taux égal ou supérieur à </w:t>
      </w:r>
      <w:r w:rsidR="00E45A67">
        <w:rPr>
          <w:rFonts w:ascii="Arial" w:hAnsi="Arial" w:cs="Arial"/>
        </w:rPr>
        <w:t>2</w:t>
      </w:r>
      <w:r>
        <w:rPr>
          <w:rFonts w:ascii="Arial" w:hAnsi="Arial" w:cs="Arial"/>
        </w:rPr>
        <w:t xml:space="preserve">% signifie apriori une consommation excessive d’alcool mais il existe des </w:t>
      </w:r>
      <w:r w:rsidR="00BC5533">
        <w:rPr>
          <w:rFonts w:ascii="Arial" w:hAnsi="Arial" w:cs="Arial"/>
        </w:rPr>
        <w:t>cas où ce taux est physiologiquement normal ou inexpliqué selon le conducteur. Le dosage de PEth semble ici beaucoup plus adapté</w:t>
      </w:r>
      <w:r w:rsidR="005F4D5C">
        <w:rPr>
          <w:rFonts w:ascii="Arial" w:hAnsi="Arial" w:cs="Arial"/>
        </w:rPr>
        <w:t xml:space="preserve"> pour une prise de décision éclairée et adaptée à chaque cas.</w:t>
      </w:r>
    </w:p>
    <w:p w14:paraId="7ED8023A" w14:textId="1A547E48" w:rsidR="00F41100" w:rsidRDefault="00786FF0" w:rsidP="009D13D5">
      <w:pPr>
        <w:spacing w:after="100" w:afterAutospacing="1" w:line="240" w:lineRule="auto"/>
        <w:rPr>
          <w:rFonts w:ascii="Arial" w:hAnsi="Arial" w:cs="Arial"/>
        </w:rPr>
      </w:pPr>
      <w:r>
        <w:rPr>
          <w:rFonts w:ascii="Arial" w:hAnsi="Arial" w:cs="Arial"/>
        </w:rPr>
        <w:t xml:space="preserve">En conclusion, il </w:t>
      </w:r>
      <w:r w:rsidR="00FB0BCF">
        <w:rPr>
          <w:rFonts w:ascii="Arial" w:hAnsi="Arial" w:cs="Arial"/>
        </w:rPr>
        <w:t>semble</w:t>
      </w:r>
      <w:r>
        <w:rPr>
          <w:rFonts w:ascii="Arial" w:hAnsi="Arial" w:cs="Arial"/>
        </w:rPr>
        <w:t xml:space="preserve"> intéressant de proposer un nouveau dosage de CDT 2 à 3 semaines après la connaissance d’un taux de CDT dans les « limites grises » (1.7% à 1.9%) après avoir pris connaissance des habitudes de consommation du conducteur.  </w:t>
      </w:r>
      <w:r w:rsidR="00D76564">
        <w:rPr>
          <w:rFonts w:ascii="Arial" w:hAnsi="Arial" w:cs="Arial"/>
        </w:rPr>
        <w:t>L</w:t>
      </w:r>
      <w:r>
        <w:rPr>
          <w:rFonts w:ascii="Arial" w:hAnsi="Arial" w:cs="Arial"/>
        </w:rPr>
        <w:t xml:space="preserve">a même démarche est utile </w:t>
      </w:r>
      <w:r w:rsidR="00FB0BCF">
        <w:rPr>
          <w:rFonts w:ascii="Arial" w:hAnsi="Arial" w:cs="Arial"/>
        </w:rPr>
        <w:t>pour</w:t>
      </w:r>
      <w:r>
        <w:rPr>
          <w:rFonts w:ascii="Arial" w:hAnsi="Arial" w:cs="Arial"/>
        </w:rPr>
        <w:t xml:space="preserve"> les conducteurs </w:t>
      </w:r>
      <w:r w:rsidR="00FB0BCF">
        <w:rPr>
          <w:rFonts w:ascii="Arial" w:hAnsi="Arial" w:cs="Arial"/>
        </w:rPr>
        <w:t>présentant un taux</w:t>
      </w:r>
      <w:r>
        <w:rPr>
          <w:rFonts w:ascii="Arial" w:hAnsi="Arial" w:cs="Arial"/>
        </w:rPr>
        <w:t xml:space="preserve"> plus élevé. </w:t>
      </w:r>
    </w:p>
    <w:p w14:paraId="5D3B6ABE" w14:textId="77777777" w:rsidR="00BE561E" w:rsidRDefault="00BE561E" w:rsidP="009D13D5">
      <w:pPr>
        <w:spacing w:after="100" w:afterAutospacing="1" w:line="240" w:lineRule="auto"/>
        <w:rPr>
          <w:rFonts w:ascii="Arial" w:hAnsi="Arial" w:cs="Arial"/>
        </w:rPr>
      </w:pPr>
    </w:p>
    <w:p w14:paraId="0270D8FC" w14:textId="77777777" w:rsidR="004F3598" w:rsidRPr="00F41100" w:rsidRDefault="00786FF0" w:rsidP="004F3598">
      <w:pPr>
        <w:spacing w:after="100" w:afterAutospacing="1" w:line="240" w:lineRule="auto"/>
        <w:rPr>
          <w:rFonts w:ascii="Arial" w:hAnsi="Arial" w:cs="Arial"/>
        </w:rPr>
      </w:pPr>
      <w:r>
        <w:rPr>
          <w:rFonts w:ascii="Arial" w:hAnsi="Arial" w:cs="Arial"/>
        </w:rPr>
        <w:t xml:space="preserve">La PEth est une </w:t>
      </w:r>
      <w:r w:rsidR="00FB0BCF">
        <w:rPr>
          <w:rFonts w:ascii="Arial" w:hAnsi="Arial" w:cs="Arial"/>
        </w:rPr>
        <w:t>alternative</w:t>
      </w:r>
      <w:r>
        <w:rPr>
          <w:rFonts w:ascii="Arial" w:hAnsi="Arial" w:cs="Arial"/>
        </w:rPr>
        <w:t xml:space="preserve"> plus onéreuse mais beaucoup plus précise pour appréci</w:t>
      </w:r>
      <w:r w:rsidR="00FB0BCF">
        <w:rPr>
          <w:rFonts w:ascii="Arial" w:hAnsi="Arial" w:cs="Arial"/>
        </w:rPr>
        <w:t xml:space="preserve">er au plus juste la consommation réelle de boissons alcoolisés par le conducteur. </w:t>
      </w:r>
      <w:r w:rsidR="004F3598">
        <w:rPr>
          <w:rFonts w:ascii="Arial" w:hAnsi="Arial" w:cs="Arial"/>
        </w:rPr>
        <w:t>La PEth est un marqueur plus performant que la CDT mais son coût financier pour le conducteur et le temps assez long pour la réception des résultats sont à prendre en compte.</w:t>
      </w:r>
    </w:p>
    <w:p w14:paraId="450AF403" w14:textId="3E40E8BB" w:rsidR="00BE561E" w:rsidRDefault="00BE561E" w:rsidP="009D13D5">
      <w:pPr>
        <w:spacing w:after="100" w:afterAutospacing="1" w:line="240" w:lineRule="auto"/>
        <w:rPr>
          <w:rFonts w:ascii="Arial" w:hAnsi="Arial" w:cs="Arial"/>
        </w:rPr>
      </w:pPr>
    </w:p>
    <w:p w14:paraId="4FA16CBA" w14:textId="77777777" w:rsidR="00BE782F" w:rsidRPr="00BE782F" w:rsidRDefault="00E45A67" w:rsidP="00BE782F">
      <w:pPr>
        <w:pStyle w:val="Paragraphedeliste"/>
        <w:numPr>
          <w:ilvl w:val="0"/>
          <w:numId w:val="23"/>
        </w:numPr>
        <w:spacing w:after="100" w:afterAutospacing="1" w:line="240" w:lineRule="auto"/>
        <w:rPr>
          <w:rFonts w:ascii="Arial" w:hAnsi="Arial" w:cs="Arial"/>
        </w:rPr>
      </w:pPr>
      <w:r w:rsidRPr="00BE782F">
        <w:rPr>
          <w:rFonts w:ascii="Arial" w:hAnsi="Arial" w:cs="Arial"/>
        </w:rPr>
        <w:t>Co</w:t>
      </w:r>
      <w:r w:rsidR="004F3598" w:rsidRPr="00BE782F">
        <w:rPr>
          <w:rFonts w:ascii="Arial" w:hAnsi="Arial" w:cs="Arial"/>
        </w:rPr>
        <w:t>û</w:t>
      </w:r>
      <w:r w:rsidRPr="00BE782F">
        <w:rPr>
          <w:rFonts w:ascii="Arial" w:hAnsi="Arial" w:cs="Arial"/>
        </w:rPr>
        <w:t xml:space="preserve">t estimé du dosage de la CDT : 20 euros, </w:t>
      </w:r>
    </w:p>
    <w:p w14:paraId="2B88CEDA" w14:textId="3C0D11E3" w:rsidR="00E45A67" w:rsidRPr="00BE782F" w:rsidRDefault="00BE782F" w:rsidP="00BE782F">
      <w:pPr>
        <w:pStyle w:val="Paragraphedeliste"/>
        <w:numPr>
          <w:ilvl w:val="0"/>
          <w:numId w:val="23"/>
        </w:numPr>
        <w:spacing w:after="100" w:afterAutospacing="1" w:line="240" w:lineRule="auto"/>
        <w:rPr>
          <w:rFonts w:ascii="Arial" w:hAnsi="Arial" w:cs="Arial"/>
        </w:rPr>
      </w:pPr>
      <w:r w:rsidRPr="00BE782F">
        <w:rPr>
          <w:rFonts w:ascii="Arial" w:hAnsi="Arial" w:cs="Arial"/>
        </w:rPr>
        <w:t>D</w:t>
      </w:r>
      <w:r w:rsidR="00E45A67" w:rsidRPr="00BE782F">
        <w:rPr>
          <w:rFonts w:ascii="Arial" w:hAnsi="Arial" w:cs="Arial"/>
        </w:rPr>
        <w:t>osage de la PEth : 70 à 90 euros</w:t>
      </w:r>
    </w:p>
    <w:p w14:paraId="4CC5F892" w14:textId="55238DE3" w:rsidR="00BE782F" w:rsidRPr="00BE782F" w:rsidRDefault="004F3598" w:rsidP="00BE782F">
      <w:pPr>
        <w:pStyle w:val="Paragraphedeliste"/>
        <w:numPr>
          <w:ilvl w:val="0"/>
          <w:numId w:val="23"/>
        </w:numPr>
        <w:spacing w:after="100" w:afterAutospacing="1" w:line="240" w:lineRule="auto"/>
        <w:rPr>
          <w:rFonts w:ascii="Arial" w:hAnsi="Arial" w:cs="Arial"/>
        </w:rPr>
      </w:pPr>
      <w:r w:rsidRPr="00BE782F">
        <w:rPr>
          <w:rFonts w:ascii="Arial" w:hAnsi="Arial" w:cs="Arial"/>
        </w:rPr>
        <w:t>Délai de réception du résultat </w:t>
      </w:r>
      <w:r w:rsidR="00BE782F" w:rsidRPr="00BE782F">
        <w:rPr>
          <w:rFonts w:ascii="Arial" w:hAnsi="Arial" w:cs="Arial"/>
        </w:rPr>
        <w:t>de la</w:t>
      </w:r>
      <w:r w:rsidRPr="00BE782F">
        <w:rPr>
          <w:rFonts w:ascii="Arial" w:hAnsi="Arial" w:cs="Arial"/>
        </w:rPr>
        <w:t xml:space="preserve"> CDT : de 1 à 8 jours. </w:t>
      </w:r>
    </w:p>
    <w:p w14:paraId="5A6A0B06" w14:textId="251BB9F9" w:rsidR="004F3598" w:rsidRPr="00BE782F" w:rsidRDefault="00BE782F" w:rsidP="00BE782F">
      <w:pPr>
        <w:pStyle w:val="Paragraphedeliste"/>
        <w:numPr>
          <w:ilvl w:val="0"/>
          <w:numId w:val="23"/>
        </w:numPr>
        <w:spacing w:after="100" w:afterAutospacing="1" w:line="240" w:lineRule="auto"/>
        <w:rPr>
          <w:rFonts w:ascii="Arial" w:hAnsi="Arial" w:cs="Arial"/>
        </w:rPr>
      </w:pPr>
      <w:r w:rsidRPr="00BE782F">
        <w:rPr>
          <w:rFonts w:ascii="Arial" w:hAnsi="Arial" w:cs="Arial"/>
        </w:rPr>
        <w:t xml:space="preserve">Délai de réception du résultat de la </w:t>
      </w:r>
      <w:r w:rsidR="004F3598" w:rsidRPr="00BE782F">
        <w:rPr>
          <w:rFonts w:ascii="Arial" w:hAnsi="Arial" w:cs="Arial"/>
        </w:rPr>
        <w:t xml:space="preserve">PEth : 8 jours </w:t>
      </w:r>
    </w:p>
    <w:p w14:paraId="26F94C85" w14:textId="77777777" w:rsidR="004F3598" w:rsidRDefault="004F3598" w:rsidP="009D13D5">
      <w:pPr>
        <w:spacing w:after="100" w:afterAutospacing="1" w:line="240" w:lineRule="auto"/>
        <w:rPr>
          <w:rFonts w:ascii="Arial" w:hAnsi="Arial" w:cs="Arial"/>
        </w:rPr>
      </w:pPr>
    </w:p>
    <w:p w14:paraId="42A86E00" w14:textId="7CA3C440" w:rsidR="00BE561E" w:rsidRDefault="00FB0BCF" w:rsidP="009D13D5">
      <w:pPr>
        <w:spacing w:after="100" w:afterAutospacing="1" w:line="240" w:lineRule="auto"/>
        <w:rPr>
          <w:rFonts w:ascii="Arial" w:hAnsi="Arial" w:cs="Arial"/>
        </w:rPr>
      </w:pPr>
      <w:r w:rsidRPr="00D76564">
        <w:rPr>
          <w:rFonts w:ascii="Arial" w:hAnsi="Arial" w:cs="Arial"/>
          <w:b/>
          <w:bCs/>
        </w:rPr>
        <w:lastRenderedPageBreak/>
        <w:t>Rappel</w:t>
      </w:r>
      <w:r>
        <w:rPr>
          <w:rFonts w:ascii="Arial" w:hAnsi="Arial" w:cs="Arial"/>
        </w:rPr>
        <w:t xml:space="preserve"> : il n’est pas interdit de consommer de l’alcool </w:t>
      </w:r>
      <w:r w:rsidR="007201A7">
        <w:rPr>
          <w:rFonts w:ascii="Arial" w:hAnsi="Arial" w:cs="Arial"/>
        </w:rPr>
        <w:t xml:space="preserve">avec modération </w:t>
      </w:r>
      <w:r>
        <w:rPr>
          <w:rFonts w:ascii="Arial" w:hAnsi="Arial" w:cs="Arial"/>
        </w:rPr>
        <w:t xml:space="preserve">mais il est interdit de conduire en état d’ivresse. </w:t>
      </w:r>
    </w:p>
    <w:p w14:paraId="7106B178" w14:textId="77777777" w:rsidR="00685BD3" w:rsidRDefault="00685BD3" w:rsidP="009D13D5">
      <w:pPr>
        <w:spacing w:after="100" w:afterAutospacing="1" w:line="240" w:lineRule="auto"/>
        <w:rPr>
          <w:rFonts w:ascii="Arial" w:hAnsi="Arial" w:cs="Arial"/>
        </w:rPr>
      </w:pPr>
    </w:p>
    <w:p w14:paraId="4ABF6153" w14:textId="6F15DFF6" w:rsidR="00685BD3" w:rsidRPr="00685BD3" w:rsidRDefault="00685BD3" w:rsidP="009D13D5">
      <w:pPr>
        <w:spacing w:after="100" w:afterAutospacing="1" w:line="240" w:lineRule="auto"/>
        <w:rPr>
          <w:rFonts w:ascii="Arial" w:hAnsi="Arial" w:cs="Arial"/>
          <w:b/>
          <w:bCs/>
        </w:rPr>
      </w:pPr>
      <w:r w:rsidRPr="00685BD3">
        <w:rPr>
          <w:rFonts w:ascii="Arial" w:hAnsi="Arial" w:cs="Arial"/>
          <w:b/>
          <w:bCs/>
        </w:rPr>
        <w:t xml:space="preserve">Remarque </w:t>
      </w:r>
    </w:p>
    <w:p w14:paraId="20B95967" w14:textId="2BB5166C" w:rsidR="00786FF0" w:rsidRDefault="00FB0BCF" w:rsidP="009D13D5">
      <w:pPr>
        <w:spacing w:after="100" w:afterAutospacing="1" w:line="240" w:lineRule="auto"/>
        <w:rPr>
          <w:rFonts w:ascii="Arial" w:hAnsi="Arial" w:cs="Arial"/>
        </w:rPr>
      </w:pPr>
      <w:r>
        <w:rPr>
          <w:rFonts w:ascii="Arial" w:hAnsi="Arial" w:cs="Arial"/>
        </w:rPr>
        <w:t xml:space="preserve">Prononcer une inaptitude entraine de très importantes conséquences notamment professionnelles pour le conducteur sanctionné. Les examens en commission doivent être </w:t>
      </w:r>
      <w:r w:rsidR="00685BD3">
        <w:rPr>
          <w:rFonts w:ascii="Arial" w:hAnsi="Arial" w:cs="Arial"/>
        </w:rPr>
        <w:t xml:space="preserve">pour les médecins </w:t>
      </w:r>
      <w:r>
        <w:rPr>
          <w:rFonts w:ascii="Arial" w:hAnsi="Arial" w:cs="Arial"/>
        </w:rPr>
        <w:t>l’occasion de faire de la pédagogie et d’évoquer la dépendance à l’alcool et les dan</w:t>
      </w:r>
      <w:r w:rsidR="00BE561E">
        <w:rPr>
          <w:rFonts w:ascii="Arial" w:hAnsi="Arial" w:cs="Arial"/>
        </w:rPr>
        <w:t>g</w:t>
      </w:r>
      <w:r>
        <w:rPr>
          <w:rFonts w:ascii="Arial" w:hAnsi="Arial" w:cs="Arial"/>
        </w:rPr>
        <w:t xml:space="preserve">ers physiques </w:t>
      </w:r>
      <w:r w:rsidR="00BE561E">
        <w:rPr>
          <w:rFonts w:ascii="Arial" w:hAnsi="Arial" w:cs="Arial"/>
        </w:rPr>
        <w:t>et psychiques</w:t>
      </w:r>
      <w:r>
        <w:rPr>
          <w:rFonts w:ascii="Arial" w:hAnsi="Arial" w:cs="Arial"/>
        </w:rPr>
        <w:t xml:space="preserve"> d’une </w:t>
      </w:r>
      <w:r w:rsidR="00BE561E">
        <w:rPr>
          <w:rFonts w:ascii="Arial" w:hAnsi="Arial" w:cs="Arial"/>
        </w:rPr>
        <w:t>consommation</w:t>
      </w:r>
      <w:r>
        <w:rPr>
          <w:rFonts w:ascii="Arial" w:hAnsi="Arial" w:cs="Arial"/>
        </w:rPr>
        <w:t xml:space="preserve"> excessive</w:t>
      </w:r>
      <w:r w:rsidR="00BE561E">
        <w:rPr>
          <w:rFonts w:ascii="Arial" w:hAnsi="Arial" w:cs="Arial"/>
        </w:rPr>
        <w:t xml:space="preserve"> sans que nous médecins revêtions la robe du juge. </w:t>
      </w:r>
    </w:p>
    <w:p w14:paraId="38F5FEF1" w14:textId="46FDFC29" w:rsidR="009D13D5" w:rsidRPr="007201A7" w:rsidRDefault="004F3598" w:rsidP="009D13D5">
      <w:pPr>
        <w:spacing w:after="100" w:afterAutospacing="1" w:line="240" w:lineRule="auto"/>
        <w:rPr>
          <w:rFonts w:ascii="Arial" w:hAnsi="Arial" w:cs="Arial"/>
        </w:rPr>
      </w:pPr>
      <w:r>
        <w:rPr>
          <w:rFonts w:ascii="Arial" w:hAnsi="Arial" w:cs="Arial"/>
        </w:rPr>
        <w:t>L’utilisation de la PEth permet d’affiner le diagnostic de l’alcoolisme, d’informer le conducteur et de prendre la décision la plus adaptée au cas de chacun</w:t>
      </w:r>
      <w:r w:rsidR="007201A7">
        <w:rPr>
          <w:rFonts w:ascii="Arial" w:hAnsi="Arial" w:cs="Arial"/>
        </w:rPr>
        <w:t>.</w:t>
      </w:r>
    </w:p>
    <w:p w14:paraId="210E1C19" w14:textId="77777777" w:rsidR="00685BD3" w:rsidRDefault="00685BD3" w:rsidP="009D13D5">
      <w:pPr>
        <w:spacing w:after="100" w:afterAutospacing="1" w:line="240" w:lineRule="auto"/>
      </w:pPr>
    </w:p>
    <w:p w14:paraId="28FA89BF" w14:textId="6FA122C0" w:rsidR="00685BD3" w:rsidRDefault="00685BD3" w:rsidP="00685BD3">
      <w:pPr>
        <w:spacing w:after="100" w:afterAutospacing="1" w:line="240" w:lineRule="auto"/>
        <w:jc w:val="right"/>
      </w:pPr>
      <w:r>
        <w:t xml:space="preserve"> Document proposé par le Dr Christophe BEZANSON </w:t>
      </w:r>
    </w:p>
    <w:p w14:paraId="6EDDB637" w14:textId="3440528D" w:rsidR="00685BD3" w:rsidRDefault="00685BD3" w:rsidP="00685BD3">
      <w:pPr>
        <w:spacing w:after="100" w:afterAutospacing="1" w:line="240" w:lineRule="auto"/>
        <w:jc w:val="right"/>
      </w:pPr>
      <w:r>
        <w:t>Médecin agréé Préfecture de Police de Paris</w:t>
      </w:r>
    </w:p>
    <w:p w14:paraId="0997EA8C" w14:textId="1028790D" w:rsidR="00B94E8D" w:rsidRDefault="00B94E8D" w:rsidP="00685BD3">
      <w:pPr>
        <w:spacing w:after="100" w:afterAutospacing="1" w:line="240" w:lineRule="auto"/>
        <w:jc w:val="right"/>
      </w:pPr>
      <w:r>
        <w:t xml:space="preserve">En collaboration avec le Dr Oussama MOUADDEN </w:t>
      </w:r>
    </w:p>
    <w:p w14:paraId="18D3F336" w14:textId="0B5A39FF" w:rsidR="00B94E8D" w:rsidRDefault="00B94E8D" w:rsidP="00B94E8D">
      <w:pPr>
        <w:spacing w:after="100" w:afterAutospacing="1" w:line="240" w:lineRule="auto"/>
        <w:jc w:val="right"/>
      </w:pPr>
      <w:r>
        <w:t>Médecins agréés par la Préfecture de Police de Paris</w:t>
      </w:r>
    </w:p>
    <w:p w14:paraId="1D77D285" w14:textId="77777777" w:rsidR="00B94E8D" w:rsidRDefault="00B94E8D" w:rsidP="00685BD3">
      <w:pPr>
        <w:spacing w:after="100" w:afterAutospacing="1" w:line="240" w:lineRule="auto"/>
        <w:jc w:val="right"/>
      </w:pPr>
    </w:p>
    <w:p w14:paraId="326BEBB8" w14:textId="03C6AFA0" w:rsidR="00685BD3" w:rsidRPr="004B6F1A" w:rsidRDefault="00685BD3" w:rsidP="00685BD3">
      <w:pPr>
        <w:spacing w:after="100" w:afterAutospacing="1" w:line="240" w:lineRule="auto"/>
        <w:jc w:val="right"/>
      </w:pPr>
      <w:r>
        <w:t>Rédigé le</w:t>
      </w:r>
      <w:r w:rsidR="00BF6607">
        <w:t xml:space="preserve"> 9/02/2026</w:t>
      </w:r>
    </w:p>
    <w:sectPr w:rsidR="00685BD3" w:rsidRPr="004B6F1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86B4" w14:textId="77777777" w:rsidR="00995F27" w:rsidRDefault="00995F27" w:rsidP="004A25B4">
      <w:pPr>
        <w:spacing w:after="0" w:line="240" w:lineRule="auto"/>
      </w:pPr>
      <w:r>
        <w:separator/>
      </w:r>
    </w:p>
  </w:endnote>
  <w:endnote w:type="continuationSeparator" w:id="0">
    <w:p w14:paraId="2EB2BCF1" w14:textId="77777777" w:rsidR="00995F27" w:rsidRDefault="00995F27" w:rsidP="004A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UICTFontTextStyleEmphasized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5083"/>
      <w:docPartObj>
        <w:docPartGallery w:val="Page Numbers (Bottom of Page)"/>
        <w:docPartUnique/>
      </w:docPartObj>
    </w:sdtPr>
    <w:sdtContent>
      <w:p w14:paraId="125FBAE6" w14:textId="0071579A" w:rsidR="004A25B4" w:rsidRDefault="004A25B4">
        <w:pPr>
          <w:pStyle w:val="Pieddepage"/>
        </w:pPr>
        <w:r>
          <w:rPr>
            <w:noProof/>
          </w:rPr>
          <mc:AlternateContent>
            <mc:Choice Requires="wps">
              <w:drawing>
                <wp:anchor distT="0" distB="0" distL="114300" distR="114300" simplePos="0" relativeHeight="251659264" behindDoc="0" locked="0" layoutInCell="0" allowOverlap="1" wp14:anchorId="18D99CF5" wp14:editId="3A029A3D">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370902826"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F671D12" w14:textId="77777777" w:rsidR="004A25B4" w:rsidRDefault="004A25B4">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99C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F671D12" w14:textId="77777777" w:rsidR="004A25B4" w:rsidRDefault="004A25B4">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6F55" w14:textId="77777777" w:rsidR="00995F27" w:rsidRDefault="00995F27" w:rsidP="004A25B4">
      <w:pPr>
        <w:spacing w:after="0" w:line="240" w:lineRule="auto"/>
      </w:pPr>
      <w:r>
        <w:separator/>
      </w:r>
    </w:p>
  </w:footnote>
  <w:footnote w:type="continuationSeparator" w:id="0">
    <w:p w14:paraId="3313DFF7" w14:textId="77777777" w:rsidR="00995F27" w:rsidRDefault="00995F27" w:rsidP="004A2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F3C"/>
    <w:multiLevelType w:val="hybridMultilevel"/>
    <w:tmpl w:val="D4DED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44738"/>
    <w:multiLevelType w:val="hybridMultilevel"/>
    <w:tmpl w:val="D28E0A2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5116FBA"/>
    <w:multiLevelType w:val="multilevel"/>
    <w:tmpl w:val="11F2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F2517"/>
    <w:multiLevelType w:val="hybridMultilevel"/>
    <w:tmpl w:val="29DC5E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245DBC"/>
    <w:multiLevelType w:val="hybridMultilevel"/>
    <w:tmpl w:val="4D3A1C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960A15"/>
    <w:multiLevelType w:val="multilevel"/>
    <w:tmpl w:val="F694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35E31"/>
    <w:multiLevelType w:val="hybridMultilevel"/>
    <w:tmpl w:val="9BB298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061644A"/>
    <w:multiLevelType w:val="hybridMultilevel"/>
    <w:tmpl w:val="6CFA3B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0E6453D"/>
    <w:multiLevelType w:val="multilevel"/>
    <w:tmpl w:val="F87C6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3025F"/>
    <w:multiLevelType w:val="hybridMultilevel"/>
    <w:tmpl w:val="3148F7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B301DE"/>
    <w:multiLevelType w:val="multilevel"/>
    <w:tmpl w:val="884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62442"/>
    <w:multiLevelType w:val="hybridMultilevel"/>
    <w:tmpl w:val="73200894"/>
    <w:lvl w:ilvl="0" w:tplc="EEEEC7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726B7E"/>
    <w:multiLevelType w:val="multilevel"/>
    <w:tmpl w:val="3A5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B7078"/>
    <w:multiLevelType w:val="multilevel"/>
    <w:tmpl w:val="F43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461B8"/>
    <w:multiLevelType w:val="multilevel"/>
    <w:tmpl w:val="30B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65BED"/>
    <w:multiLevelType w:val="multilevel"/>
    <w:tmpl w:val="A9D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A54F1"/>
    <w:multiLevelType w:val="hybridMultilevel"/>
    <w:tmpl w:val="C5E8D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543DDE"/>
    <w:multiLevelType w:val="multilevel"/>
    <w:tmpl w:val="5666F2B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807D6"/>
    <w:multiLevelType w:val="hybridMultilevel"/>
    <w:tmpl w:val="F88008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E2209E"/>
    <w:multiLevelType w:val="hybridMultilevel"/>
    <w:tmpl w:val="E5C0B9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6E6546"/>
    <w:multiLevelType w:val="multilevel"/>
    <w:tmpl w:val="D62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9576D"/>
    <w:multiLevelType w:val="multilevel"/>
    <w:tmpl w:val="6946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F4D33"/>
    <w:multiLevelType w:val="multilevel"/>
    <w:tmpl w:val="7430E6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E5A4E"/>
    <w:multiLevelType w:val="hybridMultilevel"/>
    <w:tmpl w:val="22AC7D98"/>
    <w:lvl w:ilvl="0" w:tplc="27368FF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5E31E9"/>
    <w:multiLevelType w:val="hybridMultilevel"/>
    <w:tmpl w:val="D516473A"/>
    <w:lvl w:ilvl="0" w:tplc="562A0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B4247B"/>
    <w:multiLevelType w:val="multilevel"/>
    <w:tmpl w:val="9DBC9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B4CC9"/>
    <w:multiLevelType w:val="hybridMultilevel"/>
    <w:tmpl w:val="ED0C9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7641443">
    <w:abstractNumId w:val="25"/>
  </w:num>
  <w:num w:numId="2" w16cid:durableId="1622809195">
    <w:abstractNumId w:val="13"/>
  </w:num>
  <w:num w:numId="3" w16cid:durableId="2003312047">
    <w:abstractNumId w:val="26"/>
  </w:num>
  <w:num w:numId="4" w16cid:durableId="1437019069">
    <w:abstractNumId w:val="9"/>
  </w:num>
  <w:num w:numId="5" w16cid:durableId="1019626981">
    <w:abstractNumId w:val="12"/>
  </w:num>
  <w:num w:numId="6" w16cid:durableId="1246110951">
    <w:abstractNumId w:val="14"/>
  </w:num>
  <w:num w:numId="7" w16cid:durableId="34624540">
    <w:abstractNumId w:val="2"/>
  </w:num>
  <w:num w:numId="8" w16cid:durableId="1373533114">
    <w:abstractNumId w:val="21"/>
  </w:num>
  <w:num w:numId="9" w16cid:durableId="1483619596">
    <w:abstractNumId w:val="10"/>
  </w:num>
  <w:num w:numId="10" w16cid:durableId="1991979708">
    <w:abstractNumId w:val="5"/>
  </w:num>
  <w:num w:numId="11" w16cid:durableId="1940603539">
    <w:abstractNumId w:val="18"/>
  </w:num>
  <w:num w:numId="12" w16cid:durableId="1848595883">
    <w:abstractNumId w:val="19"/>
  </w:num>
  <w:num w:numId="13" w16cid:durableId="150144070">
    <w:abstractNumId w:val="17"/>
  </w:num>
  <w:num w:numId="14" w16cid:durableId="812480489">
    <w:abstractNumId w:val="15"/>
  </w:num>
  <w:num w:numId="15" w16cid:durableId="278294699">
    <w:abstractNumId w:val="7"/>
  </w:num>
  <w:num w:numId="16" w16cid:durableId="115411071">
    <w:abstractNumId w:val="6"/>
  </w:num>
  <w:num w:numId="17" w16cid:durableId="1818298226">
    <w:abstractNumId w:val="22"/>
  </w:num>
  <w:num w:numId="18" w16cid:durableId="1584023463">
    <w:abstractNumId w:val="8"/>
  </w:num>
  <w:num w:numId="19" w16cid:durableId="2118525067">
    <w:abstractNumId w:val="24"/>
  </w:num>
  <w:num w:numId="20" w16cid:durableId="2041858189">
    <w:abstractNumId w:val="23"/>
  </w:num>
  <w:num w:numId="21" w16cid:durableId="1257010927">
    <w:abstractNumId w:val="4"/>
  </w:num>
  <w:num w:numId="22" w16cid:durableId="1522208153">
    <w:abstractNumId w:val="20"/>
  </w:num>
  <w:num w:numId="23" w16cid:durableId="440956979">
    <w:abstractNumId w:val="0"/>
  </w:num>
  <w:num w:numId="24" w16cid:durableId="792095425">
    <w:abstractNumId w:val="16"/>
  </w:num>
  <w:num w:numId="25" w16cid:durableId="1010448157">
    <w:abstractNumId w:val="1"/>
  </w:num>
  <w:num w:numId="26" w16cid:durableId="2050908617">
    <w:abstractNumId w:val="3"/>
  </w:num>
  <w:num w:numId="27" w16cid:durableId="1541474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92"/>
    <w:rsid w:val="000015DA"/>
    <w:rsid w:val="00031EF3"/>
    <w:rsid w:val="000614B7"/>
    <w:rsid w:val="00065078"/>
    <w:rsid w:val="00065390"/>
    <w:rsid w:val="00075CDB"/>
    <w:rsid w:val="000956B9"/>
    <w:rsid w:val="000A1AC4"/>
    <w:rsid w:val="000C6CA6"/>
    <w:rsid w:val="000E3D99"/>
    <w:rsid w:val="000E6716"/>
    <w:rsid w:val="001001EC"/>
    <w:rsid w:val="00101F27"/>
    <w:rsid w:val="00112717"/>
    <w:rsid w:val="00132198"/>
    <w:rsid w:val="001359F1"/>
    <w:rsid w:val="00135FFA"/>
    <w:rsid w:val="00140785"/>
    <w:rsid w:val="00142599"/>
    <w:rsid w:val="0017066D"/>
    <w:rsid w:val="00170C8A"/>
    <w:rsid w:val="00174B18"/>
    <w:rsid w:val="00187DA0"/>
    <w:rsid w:val="001A58E7"/>
    <w:rsid w:val="001A7817"/>
    <w:rsid w:val="001D24D4"/>
    <w:rsid w:val="001E4DB2"/>
    <w:rsid w:val="001F35BF"/>
    <w:rsid w:val="001F6AC7"/>
    <w:rsid w:val="00211E33"/>
    <w:rsid w:val="002179AB"/>
    <w:rsid w:val="002200A9"/>
    <w:rsid w:val="0024068C"/>
    <w:rsid w:val="00257AA1"/>
    <w:rsid w:val="00271889"/>
    <w:rsid w:val="002928C2"/>
    <w:rsid w:val="002A4F62"/>
    <w:rsid w:val="002B21A8"/>
    <w:rsid w:val="002B4EAE"/>
    <w:rsid w:val="002D4336"/>
    <w:rsid w:val="002E54B4"/>
    <w:rsid w:val="00304D90"/>
    <w:rsid w:val="00310E0B"/>
    <w:rsid w:val="00311F11"/>
    <w:rsid w:val="00325CB6"/>
    <w:rsid w:val="00326936"/>
    <w:rsid w:val="0034787D"/>
    <w:rsid w:val="003507D4"/>
    <w:rsid w:val="003653DB"/>
    <w:rsid w:val="00377C72"/>
    <w:rsid w:val="003B495B"/>
    <w:rsid w:val="003C1D4F"/>
    <w:rsid w:val="003E1299"/>
    <w:rsid w:val="003E5AE3"/>
    <w:rsid w:val="00407BCB"/>
    <w:rsid w:val="004272BB"/>
    <w:rsid w:val="004468D2"/>
    <w:rsid w:val="00466A19"/>
    <w:rsid w:val="00471231"/>
    <w:rsid w:val="00471D63"/>
    <w:rsid w:val="00482B04"/>
    <w:rsid w:val="0048530A"/>
    <w:rsid w:val="004A25B4"/>
    <w:rsid w:val="004A755F"/>
    <w:rsid w:val="004B6F1A"/>
    <w:rsid w:val="004D5DEB"/>
    <w:rsid w:val="004E3434"/>
    <w:rsid w:val="004F265A"/>
    <w:rsid w:val="004F3598"/>
    <w:rsid w:val="004F5C02"/>
    <w:rsid w:val="0050690E"/>
    <w:rsid w:val="00510367"/>
    <w:rsid w:val="0051515D"/>
    <w:rsid w:val="0053106C"/>
    <w:rsid w:val="00532EB3"/>
    <w:rsid w:val="00533F3F"/>
    <w:rsid w:val="0054167B"/>
    <w:rsid w:val="00543D8F"/>
    <w:rsid w:val="00544B7F"/>
    <w:rsid w:val="0057079D"/>
    <w:rsid w:val="0059331D"/>
    <w:rsid w:val="005C2C3C"/>
    <w:rsid w:val="005D4FAA"/>
    <w:rsid w:val="005D6F96"/>
    <w:rsid w:val="005F4D5C"/>
    <w:rsid w:val="00607BAC"/>
    <w:rsid w:val="00612E58"/>
    <w:rsid w:val="00613FF4"/>
    <w:rsid w:val="006259AF"/>
    <w:rsid w:val="00635E45"/>
    <w:rsid w:val="006428B0"/>
    <w:rsid w:val="0064389F"/>
    <w:rsid w:val="0065134D"/>
    <w:rsid w:val="0065719D"/>
    <w:rsid w:val="00665074"/>
    <w:rsid w:val="0068338A"/>
    <w:rsid w:val="00685BD3"/>
    <w:rsid w:val="006A0A0A"/>
    <w:rsid w:val="006A1DEE"/>
    <w:rsid w:val="006C28E7"/>
    <w:rsid w:val="006F2707"/>
    <w:rsid w:val="007019FF"/>
    <w:rsid w:val="0071091D"/>
    <w:rsid w:val="007201A7"/>
    <w:rsid w:val="007435D9"/>
    <w:rsid w:val="00746052"/>
    <w:rsid w:val="00770AD9"/>
    <w:rsid w:val="00781DBB"/>
    <w:rsid w:val="00786FF0"/>
    <w:rsid w:val="007A603C"/>
    <w:rsid w:val="007E0BDC"/>
    <w:rsid w:val="007E3277"/>
    <w:rsid w:val="007E3292"/>
    <w:rsid w:val="007F220F"/>
    <w:rsid w:val="007F6342"/>
    <w:rsid w:val="00804F32"/>
    <w:rsid w:val="0080552F"/>
    <w:rsid w:val="0080625B"/>
    <w:rsid w:val="00870824"/>
    <w:rsid w:val="00880538"/>
    <w:rsid w:val="00882015"/>
    <w:rsid w:val="00895ACF"/>
    <w:rsid w:val="008B55B2"/>
    <w:rsid w:val="008C5340"/>
    <w:rsid w:val="008D33AB"/>
    <w:rsid w:val="009009FF"/>
    <w:rsid w:val="009047C5"/>
    <w:rsid w:val="009106B8"/>
    <w:rsid w:val="00915E9B"/>
    <w:rsid w:val="00926571"/>
    <w:rsid w:val="00931F37"/>
    <w:rsid w:val="00937603"/>
    <w:rsid w:val="0096311C"/>
    <w:rsid w:val="0097062A"/>
    <w:rsid w:val="00971441"/>
    <w:rsid w:val="0097656D"/>
    <w:rsid w:val="00984E0D"/>
    <w:rsid w:val="00993890"/>
    <w:rsid w:val="00993AEE"/>
    <w:rsid w:val="00995F27"/>
    <w:rsid w:val="009C322D"/>
    <w:rsid w:val="009C5181"/>
    <w:rsid w:val="009D13D5"/>
    <w:rsid w:val="009D331F"/>
    <w:rsid w:val="009E36B7"/>
    <w:rsid w:val="009F31D2"/>
    <w:rsid w:val="00A01ECF"/>
    <w:rsid w:val="00A11E62"/>
    <w:rsid w:val="00A33985"/>
    <w:rsid w:val="00A46ECE"/>
    <w:rsid w:val="00A5214E"/>
    <w:rsid w:val="00A622DC"/>
    <w:rsid w:val="00AA551B"/>
    <w:rsid w:val="00AF1FFF"/>
    <w:rsid w:val="00AF51C8"/>
    <w:rsid w:val="00B12CFE"/>
    <w:rsid w:val="00B2303C"/>
    <w:rsid w:val="00B36F77"/>
    <w:rsid w:val="00B507B8"/>
    <w:rsid w:val="00B5490B"/>
    <w:rsid w:val="00B848B3"/>
    <w:rsid w:val="00B922AB"/>
    <w:rsid w:val="00B94E8D"/>
    <w:rsid w:val="00BB10F7"/>
    <w:rsid w:val="00BC2CC5"/>
    <w:rsid w:val="00BC5533"/>
    <w:rsid w:val="00BD2083"/>
    <w:rsid w:val="00BD647F"/>
    <w:rsid w:val="00BE28C9"/>
    <w:rsid w:val="00BE561E"/>
    <w:rsid w:val="00BE6B46"/>
    <w:rsid w:val="00BE782F"/>
    <w:rsid w:val="00BF6607"/>
    <w:rsid w:val="00C10174"/>
    <w:rsid w:val="00C11190"/>
    <w:rsid w:val="00C2015C"/>
    <w:rsid w:val="00C26D63"/>
    <w:rsid w:val="00C377A1"/>
    <w:rsid w:val="00C46BD7"/>
    <w:rsid w:val="00C5073C"/>
    <w:rsid w:val="00C81C42"/>
    <w:rsid w:val="00C87143"/>
    <w:rsid w:val="00CA4376"/>
    <w:rsid w:val="00CC1B4C"/>
    <w:rsid w:val="00CD49E5"/>
    <w:rsid w:val="00CD76DC"/>
    <w:rsid w:val="00D02E36"/>
    <w:rsid w:val="00D057D9"/>
    <w:rsid w:val="00D163B6"/>
    <w:rsid w:val="00D17BC8"/>
    <w:rsid w:val="00D17D8C"/>
    <w:rsid w:val="00D205B2"/>
    <w:rsid w:val="00D4008A"/>
    <w:rsid w:val="00D431CF"/>
    <w:rsid w:val="00D5774D"/>
    <w:rsid w:val="00D57CB8"/>
    <w:rsid w:val="00D614E0"/>
    <w:rsid w:val="00D76564"/>
    <w:rsid w:val="00D77C9E"/>
    <w:rsid w:val="00D907E1"/>
    <w:rsid w:val="00DE010C"/>
    <w:rsid w:val="00E04C92"/>
    <w:rsid w:val="00E11812"/>
    <w:rsid w:val="00E142B8"/>
    <w:rsid w:val="00E14D89"/>
    <w:rsid w:val="00E45A67"/>
    <w:rsid w:val="00E515B0"/>
    <w:rsid w:val="00E630D3"/>
    <w:rsid w:val="00E66B3C"/>
    <w:rsid w:val="00E71826"/>
    <w:rsid w:val="00E7249B"/>
    <w:rsid w:val="00E72D10"/>
    <w:rsid w:val="00E80A28"/>
    <w:rsid w:val="00EA23F4"/>
    <w:rsid w:val="00EB1C3C"/>
    <w:rsid w:val="00EC179A"/>
    <w:rsid w:val="00ED5AD9"/>
    <w:rsid w:val="00ED6F4F"/>
    <w:rsid w:val="00EE0B10"/>
    <w:rsid w:val="00F1561E"/>
    <w:rsid w:val="00F21870"/>
    <w:rsid w:val="00F21DA2"/>
    <w:rsid w:val="00F24A2B"/>
    <w:rsid w:val="00F41100"/>
    <w:rsid w:val="00F66852"/>
    <w:rsid w:val="00F77E44"/>
    <w:rsid w:val="00F82FDD"/>
    <w:rsid w:val="00F90400"/>
    <w:rsid w:val="00F94E67"/>
    <w:rsid w:val="00FB0BCF"/>
    <w:rsid w:val="00FC5A39"/>
    <w:rsid w:val="00FE2CAF"/>
    <w:rsid w:val="00FF2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DA8D6"/>
  <w15:chartTrackingRefBased/>
  <w15:docId w15:val="{BB06F5DC-2260-4E0A-A7E1-5F59AFA7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8D"/>
  </w:style>
  <w:style w:type="paragraph" w:styleId="Titre1">
    <w:name w:val="heading 1"/>
    <w:basedOn w:val="Normal"/>
    <w:next w:val="Normal"/>
    <w:link w:val="Titre1Car"/>
    <w:uiPriority w:val="9"/>
    <w:qFormat/>
    <w:rsid w:val="007E3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3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32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32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32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32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32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32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32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2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32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32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32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32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32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32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32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3292"/>
    <w:rPr>
      <w:rFonts w:eastAsiaTheme="majorEastAsia" w:cstheme="majorBidi"/>
      <w:color w:val="272727" w:themeColor="text1" w:themeTint="D8"/>
    </w:rPr>
  </w:style>
  <w:style w:type="paragraph" w:styleId="Titre">
    <w:name w:val="Title"/>
    <w:basedOn w:val="Normal"/>
    <w:next w:val="Normal"/>
    <w:link w:val="TitreCar"/>
    <w:uiPriority w:val="10"/>
    <w:qFormat/>
    <w:rsid w:val="007E3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32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32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32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3292"/>
    <w:pPr>
      <w:spacing w:before="160"/>
      <w:jc w:val="center"/>
    </w:pPr>
    <w:rPr>
      <w:i/>
      <w:iCs/>
      <w:color w:val="404040" w:themeColor="text1" w:themeTint="BF"/>
    </w:rPr>
  </w:style>
  <w:style w:type="character" w:customStyle="1" w:styleId="CitationCar">
    <w:name w:val="Citation Car"/>
    <w:basedOn w:val="Policepardfaut"/>
    <w:link w:val="Citation"/>
    <w:uiPriority w:val="29"/>
    <w:rsid w:val="007E3292"/>
    <w:rPr>
      <w:i/>
      <w:iCs/>
      <w:color w:val="404040" w:themeColor="text1" w:themeTint="BF"/>
    </w:rPr>
  </w:style>
  <w:style w:type="paragraph" w:styleId="Paragraphedeliste">
    <w:name w:val="List Paragraph"/>
    <w:basedOn w:val="Normal"/>
    <w:uiPriority w:val="34"/>
    <w:qFormat/>
    <w:rsid w:val="007E3292"/>
    <w:pPr>
      <w:ind w:left="720"/>
      <w:contextualSpacing/>
    </w:pPr>
  </w:style>
  <w:style w:type="character" w:styleId="Accentuationintense">
    <w:name w:val="Intense Emphasis"/>
    <w:basedOn w:val="Policepardfaut"/>
    <w:uiPriority w:val="21"/>
    <w:qFormat/>
    <w:rsid w:val="007E3292"/>
    <w:rPr>
      <w:i/>
      <w:iCs/>
      <w:color w:val="0F4761" w:themeColor="accent1" w:themeShade="BF"/>
    </w:rPr>
  </w:style>
  <w:style w:type="paragraph" w:styleId="Citationintense">
    <w:name w:val="Intense Quote"/>
    <w:basedOn w:val="Normal"/>
    <w:next w:val="Normal"/>
    <w:link w:val="CitationintenseCar"/>
    <w:uiPriority w:val="30"/>
    <w:qFormat/>
    <w:rsid w:val="007E3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3292"/>
    <w:rPr>
      <w:i/>
      <w:iCs/>
      <w:color w:val="0F4761" w:themeColor="accent1" w:themeShade="BF"/>
    </w:rPr>
  </w:style>
  <w:style w:type="character" w:styleId="Rfrenceintense">
    <w:name w:val="Intense Reference"/>
    <w:basedOn w:val="Policepardfaut"/>
    <w:uiPriority w:val="32"/>
    <w:qFormat/>
    <w:rsid w:val="007E3292"/>
    <w:rPr>
      <w:b/>
      <w:bCs/>
      <w:smallCaps/>
      <w:color w:val="0F4761" w:themeColor="accent1" w:themeShade="BF"/>
      <w:spacing w:val="5"/>
    </w:rPr>
  </w:style>
  <w:style w:type="paragraph" w:styleId="En-tte">
    <w:name w:val="header"/>
    <w:basedOn w:val="Normal"/>
    <w:link w:val="En-tteCar"/>
    <w:uiPriority w:val="99"/>
    <w:unhideWhenUsed/>
    <w:rsid w:val="004A25B4"/>
    <w:pPr>
      <w:tabs>
        <w:tab w:val="center" w:pos="4536"/>
        <w:tab w:val="right" w:pos="9072"/>
      </w:tabs>
      <w:spacing w:after="0" w:line="240" w:lineRule="auto"/>
    </w:pPr>
  </w:style>
  <w:style w:type="character" w:customStyle="1" w:styleId="En-tteCar">
    <w:name w:val="En-tête Car"/>
    <w:basedOn w:val="Policepardfaut"/>
    <w:link w:val="En-tte"/>
    <w:uiPriority w:val="99"/>
    <w:rsid w:val="004A25B4"/>
  </w:style>
  <w:style w:type="paragraph" w:styleId="Pieddepage">
    <w:name w:val="footer"/>
    <w:basedOn w:val="Normal"/>
    <w:link w:val="PieddepageCar"/>
    <w:uiPriority w:val="99"/>
    <w:unhideWhenUsed/>
    <w:rsid w:val="004A25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25B4"/>
  </w:style>
  <w:style w:type="character" w:styleId="Lienhypertexte">
    <w:name w:val="Hyperlink"/>
    <w:basedOn w:val="Policepardfaut"/>
    <w:uiPriority w:val="99"/>
    <w:semiHidden/>
    <w:unhideWhenUsed/>
    <w:rsid w:val="00EE0B10"/>
    <w:rPr>
      <w:color w:val="0000FF"/>
      <w:u w:val="single"/>
    </w:rPr>
  </w:style>
  <w:style w:type="paragraph" w:styleId="NormalWeb">
    <w:name w:val="Normal (Web)"/>
    <w:basedOn w:val="Normal"/>
    <w:uiPriority w:val="99"/>
    <w:semiHidden/>
    <w:unhideWhenUsed/>
    <w:rsid w:val="00D614E0"/>
    <w:rPr>
      <w:rFonts w:ascii="Times New Roman" w:hAnsi="Times New Roman" w:cs="Times New Roman"/>
      <w:sz w:val="24"/>
      <w:szCs w:val="24"/>
    </w:rPr>
  </w:style>
  <w:style w:type="character" w:customStyle="1" w:styleId="hgkelc">
    <w:name w:val="hgkelc"/>
    <w:basedOn w:val="Policepardfaut"/>
    <w:rsid w:val="00FE2CAF"/>
  </w:style>
  <w:style w:type="character" w:styleId="lev">
    <w:name w:val="Strong"/>
    <w:basedOn w:val="Policepardfaut"/>
    <w:uiPriority w:val="22"/>
    <w:qFormat/>
    <w:rsid w:val="00915E9B"/>
    <w:rPr>
      <w:b/>
      <w:bCs/>
    </w:rPr>
  </w:style>
  <w:style w:type="character" w:customStyle="1" w:styleId="wdyuqq">
    <w:name w:val="wdyuqq"/>
    <w:basedOn w:val="Policepardfaut"/>
    <w:rsid w:val="00EA23F4"/>
  </w:style>
  <w:style w:type="paragraph" w:customStyle="1" w:styleId="p1">
    <w:name w:val="p1"/>
    <w:basedOn w:val="Normal"/>
    <w:rsid w:val="00A46ECE"/>
    <w:pPr>
      <w:spacing w:before="100" w:beforeAutospacing="1" w:after="100" w:afterAutospacing="1" w:line="240" w:lineRule="auto"/>
    </w:pPr>
    <w:rPr>
      <w:rFonts w:ascii="Aptos" w:hAnsi="Aptos" w:cs="Aptos"/>
      <w:lang w:eastAsia="fr-FR"/>
    </w:rPr>
  </w:style>
  <w:style w:type="character" w:customStyle="1" w:styleId="s2">
    <w:name w:val="s2"/>
    <w:basedOn w:val="Policepardfaut"/>
    <w:rsid w:val="00A46ECE"/>
  </w:style>
  <w:style w:type="paragraph" w:customStyle="1" w:styleId="p2">
    <w:name w:val="p2"/>
    <w:basedOn w:val="Normal"/>
    <w:rsid w:val="00A46ECE"/>
    <w:pPr>
      <w:spacing w:before="100" w:beforeAutospacing="1" w:after="100" w:afterAutospacing="1" w:line="240" w:lineRule="auto"/>
    </w:pPr>
    <w:rPr>
      <w:rFonts w:ascii="Aptos" w:hAnsi="Aptos" w:cs="Aptos"/>
      <w:lang w:eastAsia="fr-FR"/>
    </w:rPr>
  </w:style>
  <w:style w:type="character" w:customStyle="1" w:styleId="s1">
    <w:name w:val="s1"/>
    <w:basedOn w:val="Policepardfaut"/>
    <w:rsid w:val="00A46ECE"/>
  </w:style>
  <w:style w:type="character" w:customStyle="1" w:styleId="s3">
    <w:name w:val="s3"/>
    <w:basedOn w:val="Policepardfaut"/>
    <w:rsid w:val="00A46ECE"/>
  </w:style>
  <w:style w:type="paragraph" w:customStyle="1" w:styleId="p3">
    <w:name w:val="p3"/>
    <w:basedOn w:val="Normal"/>
    <w:rsid w:val="006A0A0A"/>
    <w:pPr>
      <w:spacing w:before="100" w:beforeAutospacing="1" w:after="100" w:afterAutospacing="1" w:line="240" w:lineRule="auto"/>
    </w:pPr>
    <w:rPr>
      <w:rFonts w:ascii="Aptos" w:hAnsi="Aptos" w:cs="Aptos"/>
      <w:lang w:eastAsia="fr-FR"/>
    </w:rPr>
  </w:style>
  <w:style w:type="character" w:customStyle="1" w:styleId="s4">
    <w:name w:val="s4"/>
    <w:basedOn w:val="Policepardfaut"/>
    <w:rsid w:val="006A0A0A"/>
  </w:style>
  <w:style w:type="character" w:customStyle="1" w:styleId="apple-tab-span">
    <w:name w:val="apple-tab-span"/>
    <w:basedOn w:val="Policepardfaut"/>
    <w:rsid w:val="006A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214">
      <w:bodyDiv w:val="1"/>
      <w:marLeft w:val="0"/>
      <w:marRight w:val="0"/>
      <w:marTop w:val="0"/>
      <w:marBottom w:val="0"/>
      <w:divBdr>
        <w:top w:val="none" w:sz="0" w:space="0" w:color="auto"/>
        <w:left w:val="none" w:sz="0" w:space="0" w:color="auto"/>
        <w:bottom w:val="none" w:sz="0" w:space="0" w:color="auto"/>
        <w:right w:val="none" w:sz="0" w:space="0" w:color="auto"/>
      </w:divBdr>
    </w:div>
    <w:div w:id="81610052">
      <w:bodyDiv w:val="1"/>
      <w:marLeft w:val="0"/>
      <w:marRight w:val="0"/>
      <w:marTop w:val="0"/>
      <w:marBottom w:val="0"/>
      <w:divBdr>
        <w:top w:val="none" w:sz="0" w:space="0" w:color="auto"/>
        <w:left w:val="none" w:sz="0" w:space="0" w:color="auto"/>
        <w:bottom w:val="none" w:sz="0" w:space="0" w:color="auto"/>
        <w:right w:val="none" w:sz="0" w:space="0" w:color="auto"/>
      </w:divBdr>
    </w:div>
    <w:div w:id="126094757">
      <w:bodyDiv w:val="1"/>
      <w:marLeft w:val="0"/>
      <w:marRight w:val="0"/>
      <w:marTop w:val="0"/>
      <w:marBottom w:val="0"/>
      <w:divBdr>
        <w:top w:val="none" w:sz="0" w:space="0" w:color="auto"/>
        <w:left w:val="none" w:sz="0" w:space="0" w:color="auto"/>
        <w:bottom w:val="none" w:sz="0" w:space="0" w:color="auto"/>
        <w:right w:val="none" w:sz="0" w:space="0" w:color="auto"/>
      </w:divBdr>
      <w:divsChild>
        <w:div w:id="102266648">
          <w:marLeft w:val="0"/>
          <w:marRight w:val="0"/>
          <w:marTop w:val="0"/>
          <w:marBottom w:val="0"/>
          <w:divBdr>
            <w:top w:val="none" w:sz="0" w:space="0" w:color="auto"/>
            <w:left w:val="none" w:sz="0" w:space="0" w:color="auto"/>
            <w:bottom w:val="none" w:sz="0" w:space="0" w:color="auto"/>
            <w:right w:val="none" w:sz="0" w:space="0" w:color="auto"/>
          </w:divBdr>
          <w:divsChild>
            <w:div w:id="1400130896">
              <w:marLeft w:val="0"/>
              <w:marRight w:val="0"/>
              <w:marTop w:val="0"/>
              <w:marBottom w:val="0"/>
              <w:divBdr>
                <w:top w:val="none" w:sz="0" w:space="0" w:color="auto"/>
                <w:left w:val="none" w:sz="0" w:space="0" w:color="auto"/>
                <w:bottom w:val="none" w:sz="0" w:space="0" w:color="auto"/>
                <w:right w:val="none" w:sz="0" w:space="0" w:color="auto"/>
              </w:divBdr>
              <w:divsChild>
                <w:div w:id="194974997">
                  <w:marLeft w:val="-225"/>
                  <w:marRight w:val="-225"/>
                  <w:marTop w:val="0"/>
                  <w:marBottom w:val="0"/>
                  <w:divBdr>
                    <w:top w:val="none" w:sz="0" w:space="0" w:color="auto"/>
                    <w:left w:val="none" w:sz="0" w:space="0" w:color="auto"/>
                    <w:bottom w:val="none" w:sz="0" w:space="0" w:color="auto"/>
                    <w:right w:val="none" w:sz="0" w:space="0" w:color="auto"/>
                  </w:divBdr>
                  <w:divsChild>
                    <w:div w:id="654992313">
                      <w:marLeft w:val="0"/>
                      <w:marRight w:val="0"/>
                      <w:marTop w:val="0"/>
                      <w:marBottom w:val="0"/>
                      <w:divBdr>
                        <w:top w:val="none" w:sz="0" w:space="0" w:color="auto"/>
                        <w:left w:val="none" w:sz="0" w:space="0" w:color="auto"/>
                        <w:bottom w:val="none" w:sz="0" w:space="0" w:color="auto"/>
                        <w:right w:val="none" w:sz="0" w:space="0" w:color="auto"/>
                      </w:divBdr>
                      <w:divsChild>
                        <w:div w:id="2025549079">
                          <w:marLeft w:val="0"/>
                          <w:marRight w:val="0"/>
                          <w:marTop w:val="0"/>
                          <w:marBottom w:val="450"/>
                          <w:divBdr>
                            <w:top w:val="none" w:sz="0" w:space="0" w:color="auto"/>
                            <w:left w:val="none" w:sz="0" w:space="0" w:color="auto"/>
                            <w:bottom w:val="none" w:sz="0" w:space="0" w:color="auto"/>
                            <w:right w:val="none" w:sz="0" w:space="0" w:color="auto"/>
                          </w:divBdr>
                          <w:divsChild>
                            <w:div w:id="770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6456">
                      <w:marLeft w:val="0"/>
                      <w:marRight w:val="0"/>
                      <w:marTop w:val="0"/>
                      <w:marBottom w:val="0"/>
                      <w:divBdr>
                        <w:top w:val="none" w:sz="0" w:space="0" w:color="auto"/>
                        <w:left w:val="none" w:sz="0" w:space="0" w:color="auto"/>
                        <w:bottom w:val="none" w:sz="0" w:space="0" w:color="auto"/>
                        <w:right w:val="none" w:sz="0" w:space="0" w:color="auto"/>
                      </w:divBdr>
                      <w:divsChild>
                        <w:div w:id="1477381466">
                          <w:marLeft w:val="0"/>
                          <w:marRight w:val="0"/>
                          <w:marTop w:val="0"/>
                          <w:marBottom w:val="450"/>
                          <w:divBdr>
                            <w:top w:val="none" w:sz="0" w:space="0" w:color="auto"/>
                            <w:left w:val="none" w:sz="0" w:space="0" w:color="auto"/>
                            <w:bottom w:val="none" w:sz="0" w:space="0" w:color="auto"/>
                            <w:right w:val="none" w:sz="0" w:space="0" w:color="auto"/>
                          </w:divBdr>
                          <w:divsChild>
                            <w:div w:id="15202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43916">
          <w:marLeft w:val="0"/>
          <w:marRight w:val="0"/>
          <w:marTop w:val="0"/>
          <w:marBottom w:val="0"/>
          <w:divBdr>
            <w:top w:val="none" w:sz="0" w:space="0" w:color="auto"/>
            <w:left w:val="none" w:sz="0" w:space="0" w:color="auto"/>
            <w:bottom w:val="none" w:sz="0" w:space="0" w:color="auto"/>
            <w:right w:val="none" w:sz="0" w:space="0" w:color="auto"/>
          </w:divBdr>
          <w:divsChild>
            <w:div w:id="91512848">
              <w:marLeft w:val="0"/>
              <w:marRight w:val="0"/>
              <w:marTop w:val="0"/>
              <w:marBottom w:val="0"/>
              <w:divBdr>
                <w:top w:val="none" w:sz="0" w:space="0" w:color="auto"/>
                <w:left w:val="none" w:sz="0" w:space="0" w:color="auto"/>
                <w:bottom w:val="none" w:sz="0" w:space="0" w:color="auto"/>
                <w:right w:val="none" w:sz="0" w:space="0" w:color="auto"/>
              </w:divBdr>
              <w:divsChild>
                <w:div w:id="1491677905">
                  <w:marLeft w:val="-225"/>
                  <w:marRight w:val="-225"/>
                  <w:marTop w:val="0"/>
                  <w:marBottom w:val="0"/>
                  <w:divBdr>
                    <w:top w:val="none" w:sz="0" w:space="0" w:color="auto"/>
                    <w:left w:val="none" w:sz="0" w:space="0" w:color="auto"/>
                    <w:bottom w:val="none" w:sz="0" w:space="0" w:color="auto"/>
                    <w:right w:val="none" w:sz="0" w:space="0" w:color="auto"/>
                  </w:divBdr>
                  <w:divsChild>
                    <w:div w:id="1533961415">
                      <w:marLeft w:val="0"/>
                      <w:marRight w:val="0"/>
                      <w:marTop w:val="0"/>
                      <w:marBottom w:val="0"/>
                      <w:divBdr>
                        <w:top w:val="none" w:sz="0" w:space="0" w:color="auto"/>
                        <w:left w:val="none" w:sz="0" w:space="0" w:color="auto"/>
                        <w:bottom w:val="none" w:sz="0" w:space="0" w:color="auto"/>
                        <w:right w:val="none" w:sz="0" w:space="0" w:color="auto"/>
                      </w:divBdr>
                      <w:divsChild>
                        <w:div w:id="526526646">
                          <w:marLeft w:val="0"/>
                          <w:marRight w:val="0"/>
                          <w:marTop w:val="0"/>
                          <w:marBottom w:val="450"/>
                          <w:divBdr>
                            <w:top w:val="none" w:sz="0" w:space="0" w:color="auto"/>
                            <w:left w:val="none" w:sz="0" w:space="0" w:color="auto"/>
                            <w:bottom w:val="none" w:sz="0" w:space="0" w:color="auto"/>
                            <w:right w:val="none" w:sz="0" w:space="0" w:color="auto"/>
                          </w:divBdr>
                          <w:divsChild>
                            <w:div w:id="9281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312204">
          <w:marLeft w:val="0"/>
          <w:marRight w:val="0"/>
          <w:marTop w:val="0"/>
          <w:marBottom w:val="0"/>
          <w:divBdr>
            <w:top w:val="none" w:sz="0" w:space="0" w:color="auto"/>
            <w:left w:val="none" w:sz="0" w:space="0" w:color="auto"/>
            <w:bottom w:val="none" w:sz="0" w:space="0" w:color="auto"/>
            <w:right w:val="none" w:sz="0" w:space="0" w:color="auto"/>
          </w:divBdr>
        </w:div>
      </w:divsChild>
    </w:div>
    <w:div w:id="177240799">
      <w:bodyDiv w:val="1"/>
      <w:marLeft w:val="0"/>
      <w:marRight w:val="0"/>
      <w:marTop w:val="0"/>
      <w:marBottom w:val="0"/>
      <w:divBdr>
        <w:top w:val="none" w:sz="0" w:space="0" w:color="auto"/>
        <w:left w:val="none" w:sz="0" w:space="0" w:color="auto"/>
        <w:bottom w:val="none" w:sz="0" w:space="0" w:color="auto"/>
        <w:right w:val="none" w:sz="0" w:space="0" w:color="auto"/>
      </w:divBdr>
      <w:divsChild>
        <w:div w:id="557864115">
          <w:marLeft w:val="0"/>
          <w:marRight w:val="0"/>
          <w:marTop w:val="0"/>
          <w:marBottom w:val="0"/>
          <w:divBdr>
            <w:top w:val="none" w:sz="0" w:space="0" w:color="auto"/>
            <w:left w:val="none" w:sz="0" w:space="0" w:color="auto"/>
            <w:bottom w:val="none" w:sz="0" w:space="0" w:color="auto"/>
            <w:right w:val="none" w:sz="0" w:space="0" w:color="auto"/>
          </w:divBdr>
          <w:divsChild>
            <w:div w:id="779303711">
              <w:marLeft w:val="0"/>
              <w:marRight w:val="0"/>
              <w:marTop w:val="0"/>
              <w:marBottom w:val="0"/>
              <w:divBdr>
                <w:top w:val="none" w:sz="0" w:space="0" w:color="auto"/>
                <w:left w:val="none" w:sz="0" w:space="0" w:color="auto"/>
                <w:bottom w:val="none" w:sz="0" w:space="0" w:color="auto"/>
                <w:right w:val="none" w:sz="0" w:space="0" w:color="auto"/>
              </w:divBdr>
              <w:divsChild>
                <w:div w:id="13002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231">
      <w:bodyDiv w:val="1"/>
      <w:marLeft w:val="0"/>
      <w:marRight w:val="0"/>
      <w:marTop w:val="0"/>
      <w:marBottom w:val="0"/>
      <w:divBdr>
        <w:top w:val="none" w:sz="0" w:space="0" w:color="auto"/>
        <w:left w:val="none" w:sz="0" w:space="0" w:color="auto"/>
        <w:bottom w:val="none" w:sz="0" w:space="0" w:color="auto"/>
        <w:right w:val="none" w:sz="0" w:space="0" w:color="auto"/>
      </w:divBdr>
      <w:divsChild>
        <w:div w:id="1339043423">
          <w:marLeft w:val="0"/>
          <w:marRight w:val="0"/>
          <w:marTop w:val="0"/>
          <w:marBottom w:val="0"/>
          <w:divBdr>
            <w:top w:val="none" w:sz="0" w:space="0" w:color="auto"/>
            <w:left w:val="none" w:sz="0" w:space="0" w:color="auto"/>
            <w:bottom w:val="none" w:sz="0" w:space="0" w:color="auto"/>
            <w:right w:val="none" w:sz="0" w:space="0" w:color="auto"/>
          </w:divBdr>
          <w:divsChild>
            <w:div w:id="834343335">
              <w:marLeft w:val="0"/>
              <w:marRight w:val="0"/>
              <w:marTop w:val="0"/>
              <w:marBottom w:val="0"/>
              <w:divBdr>
                <w:top w:val="none" w:sz="0" w:space="0" w:color="auto"/>
                <w:left w:val="none" w:sz="0" w:space="0" w:color="auto"/>
                <w:bottom w:val="none" w:sz="0" w:space="0" w:color="auto"/>
                <w:right w:val="none" w:sz="0" w:space="0" w:color="auto"/>
              </w:divBdr>
              <w:divsChild>
                <w:div w:id="18223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38535">
      <w:bodyDiv w:val="1"/>
      <w:marLeft w:val="0"/>
      <w:marRight w:val="0"/>
      <w:marTop w:val="0"/>
      <w:marBottom w:val="0"/>
      <w:divBdr>
        <w:top w:val="none" w:sz="0" w:space="0" w:color="auto"/>
        <w:left w:val="none" w:sz="0" w:space="0" w:color="auto"/>
        <w:bottom w:val="none" w:sz="0" w:space="0" w:color="auto"/>
        <w:right w:val="none" w:sz="0" w:space="0" w:color="auto"/>
      </w:divBdr>
    </w:div>
    <w:div w:id="386733151">
      <w:bodyDiv w:val="1"/>
      <w:marLeft w:val="0"/>
      <w:marRight w:val="0"/>
      <w:marTop w:val="0"/>
      <w:marBottom w:val="0"/>
      <w:divBdr>
        <w:top w:val="none" w:sz="0" w:space="0" w:color="auto"/>
        <w:left w:val="none" w:sz="0" w:space="0" w:color="auto"/>
        <w:bottom w:val="none" w:sz="0" w:space="0" w:color="auto"/>
        <w:right w:val="none" w:sz="0" w:space="0" w:color="auto"/>
      </w:divBdr>
    </w:div>
    <w:div w:id="490874100">
      <w:bodyDiv w:val="1"/>
      <w:marLeft w:val="0"/>
      <w:marRight w:val="0"/>
      <w:marTop w:val="0"/>
      <w:marBottom w:val="0"/>
      <w:divBdr>
        <w:top w:val="none" w:sz="0" w:space="0" w:color="auto"/>
        <w:left w:val="none" w:sz="0" w:space="0" w:color="auto"/>
        <w:bottom w:val="none" w:sz="0" w:space="0" w:color="auto"/>
        <w:right w:val="none" w:sz="0" w:space="0" w:color="auto"/>
      </w:divBdr>
    </w:div>
    <w:div w:id="617031832">
      <w:bodyDiv w:val="1"/>
      <w:marLeft w:val="0"/>
      <w:marRight w:val="0"/>
      <w:marTop w:val="0"/>
      <w:marBottom w:val="0"/>
      <w:divBdr>
        <w:top w:val="none" w:sz="0" w:space="0" w:color="auto"/>
        <w:left w:val="none" w:sz="0" w:space="0" w:color="auto"/>
        <w:bottom w:val="none" w:sz="0" w:space="0" w:color="auto"/>
        <w:right w:val="none" w:sz="0" w:space="0" w:color="auto"/>
      </w:divBdr>
    </w:div>
    <w:div w:id="1361322448">
      <w:bodyDiv w:val="1"/>
      <w:marLeft w:val="0"/>
      <w:marRight w:val="0"/>
      <w:marTop w:val="0"/>
      <w:marBottom w:val="0"/>
      <w:divBdr>
        <w:top w:val="none" w:sz="0" w:space="0" w:color="auto"/>
        <w:left w:val="none" w:sz="0" w:space="0" w:color="auto"/>
        <w:bottom w:val="none" w:sz="0" w:space="0" w:color="auto"/>
        <w:right w:val="none" w:sz="0" w:space="0" w:color="auto"/>
      </w:divBdr>
      <w:divsChild>
        <w:div w:id="290981013">
          <w:marLeft w:val="0"/>
          <w:marRight w:val="0"/>
          <w:marTop w:val="0"/>
          <w:marBottom w:val="0"/>
          <w:divBdr>
            <w:top w:val="none" w:sz="0" w:space="0" w:color="auto"/>
            <w:left w:val="none" w:sz="0" w:space="0" w:color="auto"/>
            <w:bottom w:val="none" w:sz="0" w:space="0" w:color="auto"/>
            <w:right w:val="none" w:sz="0" w:space="0" w:color="auto"/>
          </w:divBdr>
          <w:divsChild>
            <w:div w:id="788206537">
              <w:marLeft w:val="0"/>
              <w:marRight w:val="0"/>
              <w:marTop w:val="0"/>
              <w:marBottom w:val="0"/>
              <w:divBdr>
                <w:top w:val="none" w:sz="0" w:space="0" w:color="auto"/>
                <w:left w:val="none" w:sz="0" w:space="0" w:color="auto"/>
                <w:bottom w:val="none" w:sz="0" w:space="0" w:color="auto"/>
                <w:right w:val="none" w:sz="0" w:space="0" w:color="auto"/>
              </w:divBdr>
              <w:divsChild>
                <w:div w:id="20878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9636">
      <w:bodyDiv w:val="1"/>
      <w:marLeft w:val="0"/>
      <w:marRight w:val="0"/>
      <w:marTop w:val="0"/>
      <w:marBottom w:val="0"/>
      <w:divBdr>
        <w:top w:val="none" w:sz="0" w:space="0" w:color="auto"/>
        <w:left w:val="none" w:sz="0" w:space="0" w:color="auto"/>
        <w:bottom w:val="none" w:sz="0" w:space="0" w:color="auto"/>
        <w:right w:val="none" w:sz="0" w:space="0" w:color="auto"/>
      </w:divBdr>
      <w:divsChild>
        <w:div w:id="493299576">
          <w:marLeft w:val="0"/>
          <w:marRight w:val="0"/>
          <w:marTop w:val="0"/>
          <w:marBottom w:val="0"/>
          <w:divBdr>
            <w:top w:val="none" w:sz="0" w:space="0" w:color="auto"/>
            <w:left w:val="none" w:sz="0" w:space="0" w:color="auto"/>
            <w:bottom w:val="none" w:sz="0" w:space="0" w:color="auto"/>
            <w:right w:val="none" w:sz="0" w:space="0" w:color="auto"/>
          </w:divBdr>
          <w:divsChild>
            <w:div w:id="1773085899">
              <w:marLeft w:val="0"/>
              <w:marRight w:val="0"/>
              <w:marTop w:val="0"/>
              <w:marBottom w:val="0"/>
              <w:divBdr>
                <w:top w:val="none" w:sz="0" w:space="0" w:color="auto"/>
                <w:left w:val="none" w:sz="0" w:space="0" w:color="auto"/>
                <w:bottom w:val="none" w:sz="0" w:space="0" w:color="auto"/>
                <w:right w:val="none" w:sz="0" w:space="0" w:color="auto"/>
              </w:divBdr>
            </w:div>
          </w:divsChild>
        </w:div>
        <w:div w:id="1923370442">
          <w:marLeft w:val="0"/>
          <w:marRight w:val="0"/>
          <w:marTop w:val="0"/>
          <w:marBottom w:val="0"/>
          <w:divBdr>
            <w:top w:val="none" w:sz="0" w:space="0" w:color="auto"/>
            <w:left w:val="none" w:sz="0" w:space="0" w:color="auto"/>
            <w:bottom w:val="none" w:sz="0" w:space="0" w:color="auto"/>
            <w:right w:val="none" w:sz="0" w:space="0" w:color="auto"/>
          </w:divBdr>
          <w:divsChild>
            <w:div w:id="609167833">
              <w:marLeft w:val="0"/>
              <w:marRight w:val="0"/>
              <w:marTop w:val="0"/>
              <w:marBottom w:val="0"/>
              <w:divBdr>
                <w:top w:val="none" w:sz="0" w:space="0" w:color="auto"/>
                <w:left w:val="none" w:sz="0" w:space="0" w:color="auto"/>
                <w:bottom w:val="none" w:sz="0" w:space="0" w:color="auto"/>
                <w:right w:val="none" w:sz="0" w:space="0" w:color="auto"/>
              </w:divBdr>
              <w:divsChild>
                <w:div w:id="723020989">
                  <w:marLeft w:val="0"/>
                  <w:marRight w:val="0"/>
                  <w:marTop w:val="0"/>
                  <w:marBottom w:val="0"/>
                  <w:divBdr>
                    <w:top w:val="none" w:sz="0" w:space="0" w:color="auto"/>
                    <w:left w:val="none" w:sz="0" w:space="0" w:color="auto"/>
                    <w:bottom w:val="none" w:sz="0" w:space="0" w:color="auto"/>
                    <w:right w:val="none" w:sz="0" w:space="0" w:color="auto"/>
                  </w:divBdr>
                </w:div>
                <w:div w:id="755438994">
                  <w:marLeft w:val="0"/>
                  <w:marRight w:val="0"/>
                  <w:marTop w:val="0"/>
                  <w:marBottom w:val="0"/>
                  <w:divBdr>
                    <w:top w:val="none" w:sz="0" w:space="0" w:color="auto"/>
                    <w:left w:val="none" w:sz="0" w:space="0" w:color="auto"/>
                    <w:bottom w:val="none" w:sz="0" w:space="0" w:color="auto"/>
                    <w:right w:val="none" w:sz="0" w:space="0" w:color="auto"/>
                  </w:divBdr>
                </w:div>
                <w:div w:id="117771430">
                  <w:marLeft w:val="0"/>
                  <w:marRight w:val="0"/>
                  <w:marTop w:val="0"/>
                  <w:marBottom w:val="0"/>
                  <w:divBdr>
                    <w:top w:val="none" w:sz="0" w:space="0" w:color="auto"/>
                    <w:left w:val="none" w:sz="0" w:space="0" w:color="auto"/>
                    <w:bottom w:val="none" w:sz="0" w:space="0" w:color="auto"/>
                    <w:right w:val="none" w:sz="0" w:space="0" w:color="auto"/>
                  </w:divBdr>
                </w:div>
                <w:div w:id="1057970997">
                  <w:marLeft w:val="0"/>
                  <w:marRight w:val="0"/>
                  <w:marTop w:val="0"/>
                  <w:marBottom w:val="0"/>
                  <w:divBdr>
                    <w:top w:val="none" w:sz="0" w:space="0" w:color="auto"/>
                    <w:left w:val="none" w:sz="0" w:space="0" w:color="auto"/>
                    <w:bottom w:val="none" w:sz="0" w:space="0" w:color="auto"/>
                    <w:right w:val="none" w:sz="0" w:space="0" w:color="auto"/>
                  </w:divBdr>
                </w:div>
                <w:div w:id="678308760">
                  <w:marLeft w:val="0"/>
                  <w:marRight w:val="0"/>
                  <w:marTop w:val="0"/>
                  <w:marBottom w:val="0"/>
                  <w:divBdr>
                    <w:top w:val="none" w:sz="0" w:space="0" w:color="auto"/>
                    <w:left w:val="none" w:sz="0" w:space="0" w:color="auto"/>
                    <w:bottom w:val="none" w:sz="0" w:space="0" w:color="auto"/>
                    <w:right w:val="none" w:sz="0" w:space="0" w:color="auto"/>
                  </w:divBdr>
                </w:div>
                <w:div w:id="2057703349">
                  <w:marLeft w:val="0"/>
                  <w:marRight w:val="0"/>
                  <w:marTop w:val="0"/>
                  <w:marBottom w:val="0"/>
                  <w:divBdr>
                    <w:top w:val="none" w:sz="0" w:space="0" w:color="auto"/>
                    <w:left w:val="none" w:sz="0" w:space="0" w:color="auto"/>
                    <w:bottom w:val="none" w:sz="0" w:space="0" w:color="auto"/>
                    <w:right w:val="none" w:sz="0" w:space="0" w:color="auto"/>
                  </w:divBdr>
                </w:div>
                <w:div w:id="8100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6711">
          <w:marLeft w:val="0"/>
          <w:marRight w:val="0"/>
          <w:marTop w:val="0"/>
          <w:marBottom w:val="0"/>
          <w:divBdr>
            <w:top w:val="none" w:sz="0" w:space="0" w:color="auto"/>
            <w:left w:val="none" w:sz="0" w:space="0" w:color="auto"/>
            <w:bottom w:val="none" w:sz="0" w:space="0" w:color="auto"/>
            <w:right w:val="none" w:sz="0" w:space="0" w:color="auto"/>
          </w:divBdr>
          <w:divsChild>
            <w:div w:id="1849981089">
              <w:marLeft w:val="0"/>
              <w:marRight w:val="0"/>
              <w:marTop w:val="0"/>
              <w:marBottom w:val="150"/>
              <w:divBdr>
                <w:top w:val="none" w:sz="0" w:space="0" w:color="auto"/>
                <w:left w:val="none" w:sz="0" w:space="0" w:color="auto"/>
                <w:bottom w:val="none" w:sz="0" w:space="0" w:color="auto"/>
                <w:right w:val="none" w:sz="0" w:space="0" w:color="auto"/>
              </w:divBdr>
            </w:div>
            <w:div w:id="1842157003">
              <w:marLeft w:val="0"/>
              <w:marRight w:val="0"/>
              <w:marTop w:val="0"/>
              <w:marBottom w:val="225"/>
              <w:divBdr>
                <w:top w:val="none" w:sz="0" w:space="0" w:color="auto"/>
                <w:left w:val="none" w:sz="0" w:space="0" w:color="auto"/>
                <w:bottom w:val="none" w:sz="0" w:space="0" w:color="auto"/>
                <w:right w:val="none" w:sz="0" w:space="0" w:color="auto"/>
              </w:divBdr>
              <w:divsChild>
                <w:div w:id="1735082188">
                  <w:marLeft w:val="0"/>
                  <w:marRight w:val="0"/>
                  <w:marTop w:val="0"/>
                  <w:marBottom w:val="0"/>
                  <w:divBdr>
                    <w:top w:val="none" w:sz="0" w:space="0" w:color="auto"/>
                    <w:left w:val="none" w:sz="0" w:space="0" w:color="auto"/>
                    <w:bottom w:val="none" w:sz="0" w:space="0" w:color="auto"/>
                    <w:right w:val="none" w:sz="0" w:space="0" w:color="auto"/>
                  </w:divBdr>
                  <w:divsChild>
                    <w:div w:id="1729647008">
                      <w:marLeft w:val="0"/>
                      <w:marRight w:val="0"/>
                      <w:marTop w:val="0"/>
                      <w:marBottom w:val="0"/>
                      <w:divBdr>
                        <w:top w:val="none" w:sz="0" w:space="0" w:color="auto"/>
                        <w:left w:val="none" w:sz="0" w:space="0" w:color="auto"/>
                        <w:bottom w:val="none" w:sz="0" w:space="0" w:color="auto"/>
                        <w:right w:val="none" w:sz="0" w:space="0" w:color="auto"/>
                      </w:divBdr>
                    </w:div>
                    <w:div w:id="17937478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28731453">
              <w:marLeft w:val="0"/>
              <w:marRight w:val="0"/>
              <w:marTop w:val="0"/>
              <w:marBottom w:val="0"/>
              <w:divBdr>
                <w:top w:val="none" w:sz="0" w:space="0" w:color="auto"/>
                <w:left w:val="none" w:sz="0" w:space="0" w:color="auto"/>
                <w:bottom w:val="none" w:sz="0" w:space="0" w:color="auto"/>
                <w:right w:val="none" w:sz="0" w:space="0" w:color="auto"/>
              </w:divBdr>
            </w:div>
            <w:div w:id="2096629672">
              <w:marLeft w:val="0"/>
              <w:marRight w:val="0"/>
              <w:marTop w:val="0"/>
              <w:marBottom w:val="0"/>
              <w:divBdr>
                <w:top w:val="none" w:sz="0" w:space="0" w:color="auto"/>
                <w:left w:val="none" w:sz="0" w:space="0" w:color="auto"/>
                <w:bottom w:val="none" w:sz="0" w:space="0" w:color="auto"/>
                <w:right w:val="none" w:sz="0" w:space="0" w:color="auto"/>
              </w:divBdr>
            </w:div>
            <w:div w:id="1130855302">
              <w:marLeft w:val="0"/>
              <w:marRight w:val="0"/>
              <w:marTop w:val="0"/>
              <w:marBottom w:val="0"/>
              <w:divBdr>
                <w:top w:val="none" w:sz="0" w:space="0" w:color="auto"/>
                <w:left w:val="none" w:sz="0" w:space="0" w:color="auto"/>
                <w:bottom w:val="none" w:sz="0" w:space="0" w:color="auto"/>
                <w:right w:val="none" w:sz="0" w:space="0" w:color="auto"/>
              </w:divBdr>
            </w:div>
            <w:div w:id="1644503793">
              <w:marLeft w:val="0"/>
              <w:marRight w:val="0"/>
              <w:marTop w:val="0"/>
              <w:marBottom w:val="0"/>
              <w:divBdr>
                <w:top w:val="none" w:sz="0" w:space="0" w:color="auto"/>
                <w:left w:val="none" w:sz="0" w:space="0" w:color="auto"/>
                <w:bottom w:val="none" w:sz="0" w:space="0" w:color="auto"/>
                <w:right w:val="none" w:sz="0" w:space="0" w:color="auto"/>
              </w:divBdr>
            </w:div>
            <w:div w:id="2139176291">
              <w:marLeft w:val="0"/>
              <w:marRight w:val="0"/>
              <w:marTop w:val="0"/>
              <w:marBottom w:val="0"/>
              <w:divBdr>
                <w:top w:val="none" w:sz="0" w:space="0" w:color="auto"/>
                <w:left w:val="none" w:sz="0" w:space="0" w:color="auto"/>
                <w:bottom w:val="none" w:sz="0" w:space="0" w:color="auto"/>
                <w:right w:val="none" w:sz="0" w:space="0" w:color="auto"/>
              </w:divBdr>
            </w:div>
            <w:div w:id="737704336">
              <w:marLeft w:val="0"/>
              <w:marRight w:val="0"/>
              <w:marTop w:val="0"/>
              <w:marBottom w:val="0"/>
              <w:divBdr>
                <w:top w:val="none" w:sz="0" w:space="0" w:color="auto"/>
                <w:left w:val="none" w:sz="0" w:space="0" w:color="auto"/>
                <w:bottom w:val="none" w:sz="0" w:space="0" w:color="auto"/>
                <w:right w:val="none" w:sz="0" w:space="0" w:color="auto"/>
              </w:divBdr>
            </w:div>
            <w:div w:id="593825189">
              <w:marLeft w:val="0"/>
              <w:marRight w:val="0"/>
              <w:marTop w:val="0"/>
              <w:marBottom w:val="0"/>
              <w:divBdr>
                <w:top w:val="none" w:sz="0" w:space="0" w:color="auto"/>
                <w:left w:val="none" w:sz="0" w:space="0" w:color="auto"/>
                <w:bottom w:val="none" w:sz="0" w:space="0" w:color="auto"/>
                <w:right w:val="none" w:sz="0" w:space="0" w:color="auto"/>
              </w:divBdr>
            </w:div>
            <w:div w:id="1924996966">
              <w:marLeft w:val="0"/>
              <w:marRight w:val="0"/>
              <w:marTop w:val="0"/>
              <w:marBottom w:val="0"/>
              <w:divBdr>
                <w:top w:val="none" w:sz="0" w:space="0" w:color="auto"/>
                <w:left w:val="none" w:sz="0" w:space="0" w:color="auto"/>
                <w:bottom w:val="none" w:sz="0" w:space="0" w:color="auto"/>
                <w:right w:val="none" w:sz="0" w:space="0" w:color="auto"/>
              </w:divBdr>
            </w:div>
            <w:div w:id="354816637">
              <w:marLeft w:val="0"/>
              <w:marRight w:val="0"/>
              <w:marTop w:val="0"/>
              <w:marBottom w:val="0"/>
              <w:divBdr>
                <w:top w:val="none" w:sz="0" w:space="0" w:color="auto"/>
                <w:left w:val="none" w:sz="0" w:space="0" w:color="auto"/>
                <w:bottom w:val="none" w:sz="0" w:space="0" w:color="auto"/>
                <w:right w:val="none" w:sz="0" w:space="0" w:color="auto"/>
              </w:divBdr>
            </w:div>
            <w:div w:id="1791363801">
              <w:marLeft w:val="0"/>
              <w:marRight w:val="0"/>
              <w:marTop w:val="0"/>
              <w:marBottom w:val="0"/>
              <w:divBdr>
                <w:top w:val="none" w:sz="0" w:space="0" w:color="auto"/>
                <w:left w:val="none" w:sz="0" w:space="0" w:color="auto"/>
                <w:bottom w:val="none" w:sz="0" w:space="0" w:color="auto"/>
                <w:right w:val="none" w:sz="0" w:space="0" w:color="auto"/>
              </w:divBdr>
            </w:div>
            <w:div w:id="969557289">
              <w:marLeft w:val="0"/>
              <w:marRight w:val="0"/>
              <w:marTop w:val="0"/>
              <w:marBottom w:val="0"/>
              <w:divBdr>
                <w:top w:val="none" w:sz="0" w:space="0" w:color="auto"/>
                <w:left w:val="none" w:sz="0" w:space="0" w:color="auto"/>
                <w:bottom w:val="none" w:sz="0" w:space="0" w:color="auto"/>
                <w:right w:val="none" w:sz="0" w:space="0" w:color="auto"/>
              </w:divBdr>
            </w:div>
            <w:div w:id="1504662815">
              <w:marLeft w:val="0"/>
              <w:marRight w:val="0"/>
              <w:marTop w:val="0"/>
              <w:marBottom w:val="0"/>
              <w:divBdr>
                <w:top w:val="none" w:sz="0" w:space="0" w:color="auto"/>
                <w:left w:val="none" w:sz="0" w:space="0" w:color="auto"/>
                <w:bottom w:val="none" w:sz="0" w:space="0" w:color="auto"/>
                <w:right w:val="none" w:sz="0" w:space="0" w:color="auto"/>
              </w:divBdr>
            </w:div>
            <w:div w:id="465201047">
              <w:marLeft w:val="0"/>
              <w:marRight w:val="0"/>
              <w:marTop w:val="0"/>
              <w:marBottom w:val="0"/>
              <w:divBdr>
                <w:top w:val="none" w:sz="0" w:space="0" w:color="auto"/>
                <w:left w:val="none" w:sz="0" w:space="0" w:color="auto"/>
                <w:bottom w:val="none" w:sz="0" w:space="0" w:color="auto"/>
                <w:right w:val="none" w:sz="0" w:space="0" w:color="auto"/>
              </w:divBdr>
            </w:div>
            <w:div w:id="9036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6742">
      <w:bodyDiv w:val="1"/>
      <w:marLeft w:val="0"/>
      <w:marRight w:val="0"/>
      <w:marTop w:val="0"/>
      <w:marBottom w:val="0"/>
      <w:divBdr>
        <w:top w:val="none" w:sz="0" w:space="0" w:color="auto"/>
        <w:left w:val="none" w:sz="0" w:space="0" w:color="auto"/>
        <w:bottom w:val="none" w:sz="0" w:space="0" w:color="auto"/>
        <w:right w:val="none" w:sz="0" w:space="0" w:color="auto"/>
      </w:divBdr>
    </w:div>
    <w:div w:id="1850018373">
      <w:bodyDiv w:val="1"/>
      <w:marLeft w:val="0"/>
      <w:marRight w:val="0"/>
      <w:marTop w:val="0"/>
      <w:marBottom w:val="0"/>
      <w:divBdr>
        <w:top w:val="none" w:sz="0" w:space="0" w:color="auto"/>
        <w:left w:val="none" w:sz="0" w:space="0" w:color="auto"/>
        <w:bottom w:val="none" w:sz="0" w:space="0" w:color="auto"/>
        <w:right w:val="none" w:sz="0" w:space="0" w:color="auto"/>
      </w:divBdr>
      <w:divsChild>
        <w:div w:id="731466535">
          <w:marLeft w:val="0"/>
          <w:marRight w:val="0"/>
          <w:marTop w:val="0"/>
          <w:marBottom w:val="0"/>
          <w:divBdr>
            <w:top w:val="none" w:sz="0" w:space="0" w:color="auto"/>
            <w:left w:val="none" w:sz="0" w:space="0" w:color="auto"/>
            <w:bottom w:val="none" w:sz="0" w:space="0" w:color="auto"/>
            <w:right w:val="none" w:sz="0" w:space="0" w:color="auto"/>
          </w:divBdr>
        </w:div>
        <w:div w:id="717708858">
          <w:marLeft w:val="0"/>
          <w:marRight w:val="0"/>
          <w:marTop w:val="0"/>
          <w:marBottom w:val="0"/>
          <w:divBdr>
            <w:top w:val="none" w:sz="0" w:space="0" w:color="auto"/>
            <w:left w:val="none" w:sz="0" w:space="0" w:color="auto"/>
            <w:bottom w:val="none" w:sz="0" w:space="0" w:color="auto"/>
            <w:right w:val="none" w:sz="0" w:space="0" w:color="auto"/>
          </w:divBdr>
        </w:div>
      </w:divsChild>
    </w:div>
    <w:div w:id="1932201662">
      <w:bodyDiv w:val="1"/>
      <w:marLeft w:val="0"/>
      <w:marRight w:val="0"/>
      <w:marTop w:val="0"/>
      <w:marBottom w:val="0"/>
      <w:divBdr>
        <w:top w:val="none" w:sz="0" w:space="0" w:color="auto"/>
        <w:left w:val="none" w:sz="0" w:space="0" w:color="auto"/>
        <w:bottom w:val="none" w:sz="0" w:space="0" w:color="auto"/>
        <w:right w:val="none" w:sz="0" w:space="0" w:color="auto"/>
      </w:divBdr>
    </w:div>
    <w:div w:id="1952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Substance_active_(m%C3%A9dicament)"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loda/id/LEGIARTI000026201615/2012-09-0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legifrance.gouv.fr/codes/article_lc/LEGIARTI0000262031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4313</Words>
  <Characters>23725</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Bezanson</dc:creator>
  <cp:keywords/>
  <dc:description/>
  <cp:lastModifiedBy>Christophe Bezanson</cp:lastModifiedBy>
  <cp:revision>14</cp:revision>
  <dcterms:created xsi:type="dcterms:W3CDTF">2025-10-27T09:23:00Z</dcterms:created>
  <dcterms:modified xsi:type="dcterms:W3CDTF">2026-02-09T10:47:00Z</dcterms:modified>
</cp:coreProperties>
</file>